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jc w:val="center"/>
        <w:rPr>
          <w:rFonts w:cs="宋体" w:asciiTheme="minorEastAsia" w:hAnsiTheme="minorEastAsia" w:eastAsiaTheme="minorEastAsia"/>
          <w:b/>
          <w:kern w:val="0"/>
          <w:sz w:val="32"/>
        </w:rPr>
      </w:pPr>
      <w:bookmarkStart w:id="0" w:name="_GoBack"/>
      <w:r>
        <w:rPr>
          <w:rFonts w:hint="eastAsia" w:cs="宋体" w:asciiTheme="minorEastAsia" w:hAnsiTheme="minorEastAsia" w:eastAsiaTheme="minorEastAsia"/>
          <w:b/>
          <w:kern w:val="0"/>
          <w:sz w:val="32"/>
        </w:rPr>
        <w:t>福建省仙游县第二中学食堂大宗食品定点采购项目</w:t>
      </w:r>
      <w:bookmarkEnd w:id="0"/>
    </w:p>
    <w:p/>
    <w:p>
      <w:pPr>
        <w:pStyle w:val="2"/>
        <w:spacing w:before="0" w:after="0" w:line="360" w:lineRule="auto"/>
        <w:rPr>
          <w:sz w:val="32"/>
        </w:rPr>
      </w:pPr>
      <w:r>
        <w:rPr>
          <w:rFonts w:hint="eastAsia"/>
          <w:sz w:val="32"/>
        </w:rPr>
        <w:t>一、项目概况</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福建省仙游县第二中学拟对食堂食材进行采购，采购的食堂食材主要包括大米、食用油、小麦粉、调味品、鲜肉、禽蛋、蔬菜、冻品等所需主副食品。采购数量以采购人每月的实际发生数来确定，中标人所提供产品必须符合“中华人民共和国食品安全法”要求，若因中标人提供的产品的质量、卫生标准等问题所产生的食品安全事故，一切责任由中标人承担。    </w:t>
      </w:r>
    </w:p>
    <w:p>
      <w:pPr>
        <w:widowControl/>
        <w:spacing w:line="360" w:lineRule="auto"/>
        <w:jc w:val="left"/>
        <w:rPr>
          <w:rFonts w:cs="宋体" w:asciiTheme="minorEastAsia" w:hAnsiTheme="minorEastAsia" w:eastAsiaTheme="minorEastAsia"/>
          <w:kern w:val="0"/>
          <w:sz w:val="24"/>
        </w:rPr>
      </w:pPr>
    </w:p>
    <w:p>
      <w:pPr>
        <w:widowControl/>
        <w:spacing w:line="300" w:lineRule="auto"/>
        <w:jc w:val="left"/>
        <w:rPr>
          <w:rFonts w:cs="宋体" w:asciiTheme="minorEastAsia" w:hAnsiTheme="minorEastAsia" w:eastAsiaTheme="minorEastAsia"/>
          <w:b/>
          <w:kern w:val="0"/>
          <w:sz w:val="28"/>
        </w:rPr>
      </w:pPr>
      <w:r>
        <w:rPr>
          <w:rFonts w:cs="宋体" w:asciiTheme="minorEastAsia" w:hAnsiTheme="minorEastAsia" w:eastAsiaTheme="minorEastAsia"/>
          <w:b/>
          <w:kern w:val="0"/>
          <w:sz w:val="28"/>
        </w:rPr>
        <w:t>采购标的一览表</w:t>
      </w:r>
    </w:p>
    <w:p>
      <w:pPr>
        <w:widowControl/>
        <w:spacing w:line="30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00" w:lineRule="auto"/>
        <w:ind w:right="240"/>
        <w:jc w:val="right"/>
        <w:rPr>
          <w:rFonts w:cs="宋体" w:asciiTheme="minorEastAsia" w:hAnsiTheme="minorEastAsia" w:eastAsiaTheme="minorEastAsia"/>
          <w:b/>
          <w:kern w:val="0"/>
          <w:sz w:val="24"/>
        </w:rPr>
      </w:pPr>
      <w:r>
        <w:rPr>
          <w:rFonts w:cs="宋体" w:asciiTheme="minorEastAsia" w:hAnsiTheme="minorEastAsia" w:eastAsiaTheme="minorEastAsia"/>
          <w:b/>
          <w:kern w:val="0"/>
          <w:sz w:val="24"/>
        </w:rPr>
        <w:t>金额单位：人民币元</w:t>
      </w:r>
    </w:p>
    <w:tbl>
      <w:tblPr>
        <w:tblStyle w:val="10"/>
        <w:tblW w:w="949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20"/>
        <w:gridCol w:w="648"/>
        <w:gridCol w:w="2054"/>
        <w:gridCol w:w="1134"/>
        <w:gridCol w:w="1134"/>
        <w:gridCol w:w="1464"/>
        <w:gridCol w:w="1124"/>
        <w:gridCol w:w="13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tblHeader/>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ascii="宋体" w:hAnsi="宋体" w:cs="宋体"/>
                <w:kern w:val="0"/>
                <w:sz w:val="24"/>
              </w:rPr>
              <w:t>合同包</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ascii="宋体" w:hAnsi="宋体" w:cs="宋体"/>
                <w:kern w:val="0"/>
                <w:sz w:val="24"/>
              </w:rPr>
              <w:t>品目号</w:t>
            </w:r>
          </w:p>
        </w:tc>
        <w:tc>
          <w:tcPr>
            <w:tcW w:w="205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ascii="宋体" w:hAnsi="宋体" w:cs="宋体"/>
                <w:kern w:val="0"/>
                <w:sz w:val="24"/>
              </w:rPr>
              <w:t>采购标的</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ascii="宋体" w:hAnsi="宋体" w:cs="宋体"/>
                <w:kern w:val="0"/>
                <w:sz w:val="24"/>
              </w:rPr>
              <w:t>数量</w:t>
            </w:r>
          </w:p>
        </w:tc>
        <w:tc>
          <w:tcPr>
            <w:tcW w:w="1134" w:type="dxa"/>
            <w:tcBorders>
              <w:top w:val="outset" w:color="auto" w:sz="6" w:space="0"/>
              <w:left w:val="outset" w:color="auto" w:sz="6"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合同期限</w:t>
            </w:r>
          </w:p>
        </w:tc>
        <w:tc>
          <w:tcPr>
            <w:tcW w:w="1464" w:type="dxa"/>
            <w:tcBorders>
              <w:top w:val="outset" w:color="auto" w:sz="6" w:space="0"/>
              <w:left w:val="single" w:color="auto" w:sz="4" w:space="0"/>
              <w:bottom w:val="outset" w:color="auto" w:sz="6"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食品质量要求</w:t>
            </w:r>
          </w:p>
        </w:tc>
        <w:tc>
          <w:tcPr>
            <w:tcW w:w="1124" w:type="dxa"/>
            <w:tcBorders>
              <w:top w:val="outset" w:color="auto" w:sz="6" w:space="0"/>
              <w:left w:val="single" w:color="auto" w:sz="4" w:space="0"/>
              <w:bottom w:val="outset" w:color="auto" w:sz="6" w:space="0"/>
              <w:right w:val="outset" w:color="auto" w:sz="6" w:space="0"/>
            </w:tcBorders>
            <w:vAlign w:val="center"/>
          </w:tcPr>
          <w:p>
            <w:pPr>
              <w:jc w:val="center"/>
              <w:rPr>
                <w:rFonts w:ascii="宋体" w:hAnsi="宋体" w:cs="宋体"/>
                <w:kern w:val="0"/>
                <w:sz w:val="24"/>
              </w:rPr>
            </w:pPr>
            <w:r>
              <w:rPr>
                <w:rFonts w:hint="eastAsia" w:ascii="宋体" w:hAnsi="宋体" w:cs="宋体"/>
                <w:kern w:val="0"/>
                <w:sz w:val="24"/>
              </w:rPr>
              <w:t>报价要求</w:t>
            </w:r>
          </w:p>
        </w:tc>
        <w:tc>
          <w:tcPr>
            <w:tcW w:w="132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hint="eastAsia" w:ascii="宋体" w:hAnsi="宋体" w:cs="宋体"/>
                <w:kern w:val="0"/>
                <w:sz w:val="24"/>
              </w:rPr>
              <w:t>投标</w:t>
            </w:r>
            <w:r>
              <w:rPr>
                <w:rFonts w:ascii="宋体" w:hAnsi="宋体" w:cs="宋体"/>
                <w:kern w:val="0"/>
                <w:sz w:val="24"/>
              </w:rPr>
              <w:t>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67" w:hRule="atLeast"/>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ascii="宋体" w:hAnsi="宋体" w:cs="宋体"/>
                <w:kern w:val="0"/>
                <w:sz w:val="24"/>
              </w:rPr>
              <w:t>1</w:t>
            </w:r>
          </w:p>
        </w:tc>
        <w:tc>
          <w:tcPr>
            <w:tcW w:w="0" w:type="auto"/>
            <w:tcBorders>
              <w:top w:val="outset" w:color="auto" w:sz="6" w:space="0"/>
              <w:left w:val="single" w:color="auto" w:sz="4"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1-1</w:t>
            </w:r>
          </w:p>
        </w:tc>
        <w:tc>
          <w:tcPr>
            <w:tcW w:w="2054" w:type="dxa"/>
            <w:tcBorders>
              <w:top w:val="outset" w:color="auto" w:sz="6" w:space="0"/>
              <w:left w:val="single" w:color="auto" w:sz="4"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大米、食用油、小麦粉、调味品</w:t>
            </w:r>
          </w:p>
        </w:tc>
        <w:tc>
          <w:tcPr>
            <w:tcW w:w="1134" w:type="dxa"/>
            <w:tcBorders>
              <w:top w:val="outset" w:color="auto" w:sz="6" w:space="0"/>
              <w:left w:val="single" w:color="auto" w:sz="4"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1（批）</w:t>
            </w:r>
          </w:p>
        </w:tc>
        <w:tc>
          <w:tcPr>
            <w:tcW w:w="1134" w:type="dxa"/>
            <w:tcBorders>
              <w:top w:val="outset" w:color="auto" w:sz="6" w:space="0"/>
              <w:left w:val="outset" w:color="auto" w:sz="6"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1年</w:t>
            </w:r>
          </w:p>
        </w:tc>
        <w:tc>
          <w:tcPr>
            <w:tcW w:w="1464" w:type="dxa"/>
            <w:tcBorders>
              <w:top w:val="outset" w:color="auto" w:sz="6" w:space="0"/>
              <w:left w:val="single" w:color="auto" w:sz="4" w:space="0"/>
              <w:bottom w:val="outset" w:color="auto" w:sz="6"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详见招标内容及要求</w:t>
            </w:r>
          </w:p>
        </w:tc>
        <w:tc>
          <w:tcPr>
            <w:tcW w:w="1124" w:type="dxa"/>
            <w:tcBorders>
              <w:top w:val="outset" w:color="auto" w:sz="6" w:space="0"/>
              <w:left w:val="single" w:color="auto" w:sz="4" w:space="0"/>
              <w:bottom w:val="outset" w:color="auto" w:sz="6" w:space="0"/>
              <w:right w:val="outset" w:color="auto" w:sz="6" w:space="0"/>
            </w:tcBorders>
            <w:vAlign w:val="center"/>
          </w:tcPr>
          <w:p>
            <w:pPr>
              <w:jc w:val="center"/>
              <w:rPr>
                <w:rFonts w:ascii="宋体" w:hAnsi="宋体" w:cs="宋体"/>
                <w:kern w:val="0"/>
                <w:sz w:val="24"/>
              </w:rPr>
            </w:pPr>
            <w:r>
              <w:rPr>
                <w:rFonts w:hint="eastAsia" w:ascii="宋体" w:hAnsi="宋体" w:cs="宋体"/>
                <w:kern w:val="0"/>
                <w:sz w:val="24"/>
              </w:rPr>
              <w:t>下浮率须≥6.00%</w:t>
            </w:r>
          </w:p>
        </w:tc>
        <w:tc>
          <w:tcPr>
            <w:tcW w:w="132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hint="eastAsia" w:ascii="宋体" w:hAnsi="宋体" w:cs="宋体"/>
                <w:kern w:val="0"/>
                <w:sz w:val="24"/>
              </w:rPr>
              <w:t>3500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7" w:hRule="atLeast"/>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0" w:type="auto"/>
            <w:tcBorders>
              <w:top w:val="outset" w:color="auto" w:sz="6" w:space="0"/>
              <w:left w:val="single" w:color="auto" w:sz="4"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2-1</w:t>
            </w:r>
          </w:p>
        </w:tc>
        <w:tc>
          <w:tcPr>
            <w:tcW w:w="2054" w:type="dxa"/>
            <w:tcBorders>
              <w:top w:val="outset" w:color="auto" w:sz="6" w:space="0"/>
              <w:left w:val="single" w:color="auto" w:sz="4"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鲜肉、禽蛋</w:t>
            </w:r>
          </w:p>
        </w:tc>
        <w:tc>
          <w:tcPr>
            <w:tcW w:w="1134" w:type="dxa"/>
            <w:tcBorders>
              <w:top w:val="outset" w:color="auto" w:sz="6" w:space="0"/>
              <w:left w:val="single" w:color="auto" w:sz="4"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1（批）</w:t>
            </w:r>
          </w:p>
        </w:tc>
        <w:tc>
          <w:tcPr>
            <w:tcW w:w="1134" w:type="dxa"/>
            <w:tcBorders>
              <w:top w:val="outset" w:color="auto" w:sz="6" w:space="0"/>
              <w:left w:val="outset" w:color="auto" w:sz="6"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1年</w:t>
            </w:r>
          </w:p>
        </w:tc>
        <w:tc>
          <w:tcPr>
            <w:tcW w:w="1464" w:type="dxa"/>
            <w:tcBorders>
              <w:top w:val="outset" w:color="auto" w:sz="6" w:space="0"/>
              <w:left w:val="single" w:color="auto" w:sz="4" w:space="0"/>
              <w:bottom w:val="outset" w:color="auto" w:sz="6" w:space="0"/>
              <w:right w:val="single" w:color="auto" w:sz="4" w:space="0"/>
            </w:tcBorders>
            <w:vAlign w:val="center"/>
          </w:tcPr>
          <w:p>
            <w:pPr>
              <w:jc w:val="center"/>
              <w:rPr>
                <w:rFonts w:asciiTheme="minorHAnsi" w:hAnsiTheme="minorHAnsi" w:eastAsiaTheme="minorEastAsia" w:cstheme="minorBidi"/>
                <w:szCs w:val="22"/>
              </w:rPr>
            </w:pPr>
            <w:r>
              <w:rPr>
                <w:rFonts w:hint="eastAsia" w:ascii="宋体" w:hAnsi="宋体" w:cs="宋体"/>
                <w:kern w:val="0"/>
                <w:sz w:val="24"/>
              </w:rPr>
              <w:t>详见招标内容及要求</w:t>
            </w:r>
          </w:p>
        </w:tc>
        <w:tc>
          <w:tcPr>
            <w:tcW w:w="1124" w:type="dxa"/>
            <w:tcBorders>
              <w:top w:val="outset" w:color="auto" w:sz="6" w:space="0"/>
              <w:left w:val="single" w:color="auto" w:sz="4" w:space="0"/>
              <w:bottom w:val="outset" w:color="auto" w:sz="6" w:space="0"/>
              <w:right w:val="outset" w:color="auto" w:sz="6" w:space="0"/>
            </w:tcBorders>
            <w:vAlign w:val="center"/>
          </w:tcPr>
          <w:p>
            <w:pPr>
              <w:jc w:val="center"/>
              <w:rPr>
                <w:rFonts w:ascii="宋体" w:hAnsi="宋体" w:cs="宋体"/>
                <w:kern w:val="0"/>
                <w:sz w:val="24"/>
              </w:rPr>
            </w:pPr>
            <w:r>
              <w:rPr>
                <w:rFonts w:hint="eastAsia" w:ascii="宋体" w:hAnsi="宋体" w:cs="宋体"/>
                <w:kern w:val="0"/>
                <w:sz w:val="24"/>
              </w:rPr>
              <w:t>下浮率须≥6.00%</w:t>
            </w:r>
          </w:p>
        </w:tc>
        <w:tc>
          <w:tcPr>
            <w:tcW w:w="132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hint="eastAsia" w:ascii="宋体" w:hAnsi="宋体" w:cs="宋体"/>
                <w:kern w:val="0"/>
                <w:sz w:val="24"/>
              </w:rPr>
              <w:t>4000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7" w:hRule="atLeast"/>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0" w:type="auto"/>
            <w:tcBorders>
              <w:top w:val="outset" w:color="auto" w:sz="6" w:space="0"/>
              <w:left w:val="single" w:color="auto" w:sz="4"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3-1</w:t>
            </w:r>
          </w:p>
        </w:tc>
        <w:tc>
          <w:tcPr>
            <w:tcW w:w="2054" w:type="dxa"/>
            <w:tcBorders>
              <w:top w:val="outset" w:color="auto" w:sz="6" w:space="0"/>
              <w:left w:val="single" w:color="auto" w:sz="4"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蔬菜</w:t>
            </w:r>
          </w:p>
        </w:tc>
        <w:tc>
          <w:tcPr>
            <w:tcW w:w="1134" w:type="dxa"/>
            <w:tcBorders>
              <w:top w:val="outset" w:color="auto" w:sz="6" w:space="0"/>
              <w:left w:val="single" w:color="auto" w:sz="4"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1（批）</w:t>
            </w:r>
          </w:p>
        </w:tc>
        <w:tc>
          <w:tcPr>
            <w:tcW w:w="1134" w:type="dxa"/>
            <w:tcBorders>
              <w:top w:val="outset" w:color="auto" w:sz="6" w:space="0"/>
              <w:left w:val="outset" w:color="auto" w:sz="6"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1年</w:t>
            </w:r>
          </w:p>
        </w:tc>
        <w:tc>
          <w:tcPr>
            <w:tcW w:w="1464" w:type="dxa"/>
            <w:tcBorders>
              <w:top w:val="outset" w:color="auto" w:sz="6" w:space="0"/>
              <w:left w:val="single" w:color="auto" w:sz="4" w:space="0"/>
              <w:bottom w:val="outset" w:color="auto" w:sz="6" w:space="0"/>
              <w:right w:val="single" w:color="auto" w:sz="4" w:space="0"/>
            </w:tcBorders>
            <w:vAlign w:val="center"/>
          </w:tcPr>
          <w:p>
            <w:pPr>
              <w:jc w:val="center"/>
              <w:rPr>
                <w:rFonts w:asciiTheme="minorHAnsi" w:hAnsiTheme="minorHAnsi" w:eastAsiaTheme="minorEastAsia" w:cstheme="minorBidi"/>
                <w:szCs w:val="22"/>
              </w:rPr>
            </w:pPr>
            <w:r>
              <w:rPr>
                <w:rFonts w:hint="eastAsia" w:ascii="宋体" w:hAnsi="宋体" w:cs="宋体"/>
                <w:kern w:val="0"/>
                <w:sz w:val="24"/>
              </w:rPr>
              <w:t>详见招标内容及要求</w:t>
            </w:r>
          </w:p>
        </w:tc>
        <w:tc>
          <w:tcPr>
            <w:tcW w:w="1124" w:type="dxa"/>
            <w:tcBorders>
              <w:top w:val="outset" w:color="auto" w:sz="6" w:space="0"/>
              <w:left w:val="single" w:color="auto" w:sz="4" w:space="0"/>
              <w:bottom w:val="outset" w:color="auto" w:sz="6" w:space="0"/>
              <w:right w:val="outset" w:color="auto" w:sz="6" w:space="0"/>
            </w:tcBorders>
            <w:vAlign w:val="center"/>
          </w:tcPr>
          <w:p>
            <w:pPr>
              <w:jc w:val="center"/>
              <w:rPr>
                <w:rFonts w:ascii="宋体" w:hAnsi="宋体" w:cs="宋体"/>
                <w:kern w:val="0"/>
                <w:sz w:val="24"/>
              </w:rPr>
            </w:pPr>
            <w:r>
              <w:rPr>
                <w:rFonts w:hint="eastAsia" w:ascii="宋体" w:hAnsi="宋体" w:cs="宋体"/>
                <w:kern w:val="0"/>
                <w:sz w:val="24"/>
              </w:rPr>
              <w:t>下浮率须≥13.00%</w:t>
            </w:r>
          </w:p>
        </w:tc>
        <w:tc>
          <w:tcPr>
            <w:tcW w:w="132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hint="eastAsia" w:ascii="宋体" w:hAnsi="宋体" w:cs="宋体"/>
                <w:kern w:val="0"/>
                <w:sz w:val="24"/>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7" w:hRule="atLeast"/>
          <w:jc w:val="center"/>
        </w:trPr>
        <w:tc>
          <w:tcPr>
            <w:tcW w:w="0" w:type="auto"/>
            <w:tcBorders>
              <w:top w:val="outset" w:color="auto" w:sz="6" w:space="0"/>
              <w:left w:val="outset" w:color="auto" w:sz="6" w:space="0"/>
              <w:right w:val="outset" w:color="auto" w:sz="6"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0" w:type="auto"/>
            <w:tcBorders>
              <w:top w:val="outset" w:color="auto" w:sz="6" w:space="0"/>
              <w:left w:val="single" w:color="auto" w:sz="4"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4-1</w:t>
            </w:r>
          </w:p>
        </w:tc>
        <w:tc>
          <w:tcPr>
            <w:tcW w:w="2054" w:type="dxa"/>
            <w:tcBorders>
              <w:top w:val="outset" w:color="auto" w:sz="6" w:space="0"/>
              <w:left w:val="single" w:color="auto" w:sz="4"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冻品</w:t>
            </w:r>
          </w:p>
        </w:tc>
        <w:tc>
          <w:tcPr>
            <w:tcW w:w="1134" w:type="dxa"/>
            <w:tcBorders>
              <w:top w:val="outset" w:color="auto" w:sz="6" w:space="0"/>
              <w:left w:val="single" w:color="auto" w:sz="4"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1（批）</w:t>
            </w:r>
          </w:p>
        </w:tc>
        <w:tc>
          <w:tcPr>
            <w:tcW w:w="1134" w:type="dxa"/>
            <w:tcBorders>
              <w:top w:val="outset" w:color="auto" w:sz="6" w:space="0"/>
              <w:left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1年</w:t>
            </w:r>
          </w:p>
        </w:tc>
        <w:tc>
          <w:tcPr>
            <w:tcW w:w="1464" w:type="dxa"/>
            <w:tcBorders>
              <w:top w:val="outset" w:color="auto" w:sz="6" w:space="0"/>
              <w:left w:val="single" w:color="auto" w:sz="4" w:space="0"/>
              <w:right w:val="single" w:color="auto" w:sz="4" w:space="0"/>
            </w:tcBorders>
            <w:vAlign w:val="center"/>
          </w:tcPr>
          <w:p>
            <w:pPr>
              <w:jc w:val="center"/>
              <w:rPr>
                <w:rFonts w:asciiTheme="minorHAnsi" w:hAnsiTheme="minorHAnsi" w:eastAsiaTheme="minorEastAsia" w:cstheme="minorBidi"/>
                <w:szCs w:val="22"/>
              </w:rPr>
            </w:pPr>
            <w:r>
              <w:rPr>
                <w:rFonts w:hint="eastAsia" w:ascii="宋体" w:hAnsi="宋体" w:cs="宋体"/>
                <w:kern w:val="0"/>
                <w:sz w:val="24"/>
              </w:rPr>
              <w:t>详见招标内容及要求</w:t>
            </w:r>
          </w:p>
        </w:tc>
        <w:tc>
          <w:tcPr>
            <w:tcW w:w="1124" w:type="dxa"/>
            <w:tcBorders>
              <w:top w:val="outset" w:color="auto" w:sz="6" w:space="0"/>
              <w:left w:val="single" w:color="auto" w:sz="4" w:space="0"/>
              <w:right w:val="outset" w:color="auto" w:sz="6" w:space="0"/>
            </w:tcBorders>
            <w:vAlign w:val="center"/>
          </w:tcPr>
          <w:p>
            <w:pPr>
              <w:jc w:val="center"/>
              <w:rPr>
                <w:rFonts w:ascii="宋体" w:hAnsi="宋体" w:cs="宋体"/>
                <w:kern w:val="0"/>
                <w:sz w:val="24"/>
              </w:rPr>
            </w:pPr>
            <w:r>
              <w:rPr>
                <w:rFonts w:hint="eastAsia" w:ascii="宋体" w:hAnsi="宋体" w:cs="宋体"/>
                <w:kern w:val="0"/>
                <w:sz w:val="24"/>
              </w:rPr>
              <w:t>下浮率须≥6.00%</w:t>
            </w:r>
          </w:p>
        </w:tc>
        <w:tc>
          <w:tcPr>
            <w:tcW w:w="1321" w:type="dxa"/>
            <w:tcBorders>
              <w:top w:val="outset" w:color="auto" w:sz="6" w:space="0"/>
              <w:left w:val="outset" w:color="auto" w:sz="6" w:space="0"/>
              <w:right w:val="outset" w:color="auto" w:sz="6" w:space="0"/>
            </w:tcBorders>
            <w:vAlign w:val="center"/>
          </w:tcPr>
          <w:p>
            <w:pPr>
              <w:widowControl/>
              <w:jc w:val="center"/>
              <w:rPr>
                <w:rFonts w:ascii="宋体" w:hAnsi="宋体" w:cs="宋体"/>
                <w:kern w:val="0"/>
                <w:sz w:val="24"/>
              </w:rPr>
            </w:pPr>
            <w:r>
              <w:rPr>
                <w:rFonts w:hint="eastAsia" w:ascii="宋体" w:hAnsi="宋体" w:cs="宋体"/>
                <w:kern w:val="0"/>
                <w:sz w:val="24"/>
              </w:rPr>
              <w:t>3000</w:t>
            </w:r>
          </w:p>
        </w:tc>
      </w:tr>
    </w:tbl>
    <w:p>
      <w:pPr>
        <w:widowControl/>
        <w:spacing w:line="300" w:lineRule="auto"/>
        <w:jc w:val="left"/>
        <w:rPr>
          <w:rFonts w:asciiTheme="minorEastAsia" w:hAnsiTheme="minorEastAsia" w:eastAsiaTheme="minorEastAsia" w:cstheme="minorBidi"/>
          <w:b/>
          <w:sz w:val="24"/>
          <w:szCs w:val="22"/>
        </w:rPr>
      </w:pPr>
      <w:r>
        <w:rPr>
          <w:rFonts w:hint="eastAsia" w:asciiTheme="minorEastAsia" w:hAnsiTheme="minorEastAsia" w:eastAsiaTheme="minorEastAsia" w:cstheme="minorBidi"/>
          <w:b/>
          <w:sz w:val="24"/>
          <w:szCs w:val="22"/>
        </w:rPr>
        <w:t>注：</w:t>
      </w:r>
    </w:p>
    <w:p>
      <w:pPr>
        <w:widowControl/>
        <w:spacing w:line="300" w:lineRule="auto"/>
        <w:jc w:val="left"/>
        <w:rPr>
          <w:rFonts w:asciiTheme="minorEastAsia" w:hAnsiTheme="minorEastAsia" w:eastAsiaTheme="minorEastAsia" w:cstheme="minorBidi"/>
          <w:b/>
          <w:sz w:val="24"/>
          <w:szCs w:val="22"/>
        </w:rPr>
      </w:pPr>
      <w:r>
        <w:rPr>
          <w:rFonts w:hint="eastAsia" w:asciiTheme="minorEastAsia" w:hAnsiTheme="minorEastAsia" w:eastAsiaTheme="minorEastAsia" w:cstheme="minorBidi"/>
          <w:b/>
          <w:sz w:val="24"/>
          <w:szCs w:val="22"/>
        </w:rPr>
        <w:t>1、投标人应按合同包投标，对同一合同包内所有品目号内容投标时必须完整。评标与授标以合同包为单位。</w:t>
      </w:r>
    </w:p>
    <w:p>
      <w:pPr>
        <w:widowControl/>
        <w:spacing w:line="300" w:lineRule="auto"/>
        <w:jc w:val="left"/>
        <w:rPr>
          <w:rFonts w:asciiTheme="minorEastAsia" w:hAnsiTheme="minorEastAsia" w:eastAsiaTheme="minorEastAsia" w:cstheme="minorBidi"/>
          <w:b/>
          <w:sz w:val="24"/>
          <w:szCs w:val="22"/>
        </w:rPr>
      </w:pPr>
      <w:r>
        <w:rPr>
          <w:rFonts w:hint="eastAsia" w:asciiTheme="minorEastAsia" w:hAnsiTheme="minorEastAsia" w:eastAsiaTheme="minorEastAsia" w:cstheme="minorBidi"/>
          <w:b/>
          <w:sz w:val="24"/>
          <w:szCs w:val="22"/>
        </w:rPr>
        <w:t>2、报价低于规定下浮率的投标人为无效投标行为。</w:t>
      </w:r>
    </w:p>
    <w:p>
      <w:pPr>
        <w:widowControl/>
        <w:spacing w:line="300" w:lineRule="auto"/>
        <w:jc w:val="left"/>
        <w:rPr>
          <w:rFonts w:asciiTheme="minorEastAsia" w:hAnsiTheme="minorEastAsia" w:eastAsiaTheme="minorEastAsia" w:cstheme="minorBidi"/>
          <w:b/>
          <w:sz w:val="24"/>
          <w:szCs w:val="22"/>
        </w:rPr>
      </w:pPr>
    </w:p>
    <w:p>
      <w:pPr>
        <w:widowControl/>
        <w:spacing w:line="300" w:lineRule="auto"/>
        <w:jc w:val="left"/>
        <w:rPr>
          <w:rFonts w:hint="eastAsia" w:cs="宋体" w:asciiTheme="minorEastAsia" w:hAnsiTheme="minorEastAsia" w:eastAsiaTheme="minorEastAsia"/>
          <w:b/>
          <w:kern w:val="0"/>
          <w:sz w:val="28"/>
          <w:lang w:eastAsia="zh-CN"/>
        </w:rPr>
      </w:pPr>
      <w:r>
        <w:rPr>
          <w:rFonts w:cs="宋体" w:asciiTheme="minorEastAsia" w:hAnsiTheme="minorEastAsia" w:eastAsiaTheme="minorEastAsia"/>
          <w:b/>
          <w:kern w:val="0"/>
          <w:sz w:val="28"/>
        </w:rPr>
        <w:t>特定资格条件：</w:t>
      </w:r>
    </w:p>
    <w:p>
      <w:pPr>
        <w:widowControl/>
        <w:spacing w:line="300" w:lineRule="auto"/>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合同包1</w:t>
      </w:r>
      <w:r>
        <w:rPr>
          <w:rFonts w:hint="eastAsia" w:cs="宋体" w:asciiTheme="minorEastAsia" w:hAnsiTheme="minorEastAsia" w:eastAsiaTheme="minorEastAsia"/>
          <w:b/>
          <w:bCs/>
          <w:kern w:val="0"/>
          <w:sz w:val="24"/>
        </w:rPr>
        <w:t>-4</w:t>
      </w:r>
    </w:p>
    <w:tbl>
      <w:tblPr>
        <w:tblStyle w:val="10"/>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568"/>
        <w:gridCol w:w="740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1568"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300" w:lineRule="auto"/>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明细</w:t>
            </w:r>
          </w:p>
        </w:tc>
        <w:tc>
          <w:tcPr>
            <w:tcW w:w="7406"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300" w:lineRule="auto"/>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rHeight w:val="1057" w:hRule="atLeast"/>
        </w:trPr>
        <w:tc>
          <w:tcPr>
            <w:tcW w:w="15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00" w:lineRule="auto"/>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其他资格要求</w:t>
            </w:r>
          </w:p>
        </w:tc>
        <w:tc>
          <w:tcPr>
            <w:tcW w:w="740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00" w:lineRule="auto"/>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投标人具备有效的《食品流通许可证》或《食品生产许可证》或《食品经营许可证》或《食品药品生产经营许可证》。</w:t>
            </w:r>
          </w:p>
        </w:tc>
      </w:tr>
    </w:tbl>
    <w:p>
      <w:pPr>
        <w:pStyle w:val="2"/>
        <w:spacing w:before="0" w:after="0" w:line="360" w:lineRule="auto"/>
        <w:rPr>
          <w:sz w:val="36"/>
        </w:rPr>
      </w:pPr>
      <w:r>
        <w:rPr>
          <w:rFonts w:hint="eastAsia"/>
          <w:sz w:val="36"/>
        </w:rPr>
        <w:t>二、招标内容及要求</w:t>
      </w:r>
    </w:p>
    <w:p/>
    <w:p>
      <w:pPr>
        <w:pStyle w:val="2"/>
        <w:spacing w:before="0" w:after="0" w:line="360" w:lineRule="auto"/>
        <w:rPr>
          <w:sz w:val="32"/>
        </w:rPr>
      </w:pPr>
      <w:r>
        <w:rPr>
          <w:rFonts w:hint="eastAsia"/>
          <w:sz w:val="32"/>
        </w:rPr>
        <w:t>合同包1：大米、食用油、小麦粉、调味品</w:t>
      </w:r>
    </w:p>
    <w:p>
      <w:pPr>
        <w:pStyle w:val="3"/>
        <w:spacing w:before="0" w:after="0" w:line="360" w:lineRule="auto"/>
        <w:rPr>
          <w:sz w:val="28"/>
        </w:rPr>
      </w:pPr>
      <w:r>
        <w:rPr>
          <w:rFonts w:hint="eastAsia"/>
          <w:sz w:val="28"/>
        </w:rPr>
        <w:t>技术和服务要求（以下内容为不允许负偏离的实质性要求）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b/>
          <w:sz w:val="24"/>
        </w:rPr>
        <w:t>本合同包合同期限为一年。</w:t>
      </w:r>
      <w:r>
        <w:rPr>
          <w:rFonts w:hint="eastAsia" w:asciiTheme="minorEastAsia" w:hAnsiTheme="minorEastAsia" w:eastAsiaTheme="minorEastAsia"/>
          <w:sz w:val="24"/>
        </w:rPr>
        <w:t>采购人每学期进行大宗食品原料供应满意度调查测评一次，对食品原料质量、数量、价格和服务等方面进行全面评价，要求测评综合满意度合格率均达80％及以上。合同期内，满意度测评合格率低于80%的，采购人可立即终止采购合同。如果合同期内，测评综合满意度合格率均达85%及以上的，经采购人与中标人协商后，采购人有权决定是否续签下一年度合同。若未能续签下一年度合同的，合同到期后新一轮的中标投标人未确定，则由原中标人继续食堂大宗食品集中采购配送工作，直至新投标人确定为止，中标人不得以任何理由拒绝，否则履约保证金不予以退还。</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所有参加植物食用油的投标产品必须为中国驰名商标的预包装食品；所有参加大米的投标产品必须为国标一级籼米、粳米、糯米的有注册商标的预包装食品；所有参加小麦粉的投标产品必须为有注册商标的预包装食品；所有参加调味品的投标产品必须为中国驰名商标的预包装食品。须保证大米、面粉质量，无砂石，无虫，无杂质，重量误差须在《定量包装商品计量监督管理办法》许可范围内。具备“QS”食品质量安全认证（在有效期内，合同期内的中标人若QS失效或未按要求换证或年检，供货合同随所供货的QS认证失效而终止）。</w:t>
      </w:r>
      <w:r>
        <w:rPr>
          <w:rFonts w:hint="eastAsia" w:asciiTheme="minorEastAsia" w:hAnsiTheme="minorEastAsia" w:eastAsiaTheme="minorEastAsia"/>
          <w:b/>
          <w:sz w:val="24"/>
        </w:rPr>
        <w:t xml:space="preserve">所有供货产品根据采购人需求（种类、品牌、数量等）进行采购，供货前须通过采购人确认，产品质量须经采购人验证合格后方可供货。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3、参照价格及结算价格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供货价格以“莆田市发展和改革委员会官网——主要商品行情”每日公布的价格为实时市场参照价格，价格每一个月确定一次，以当月的5、15、25日三天公布价格的平均价格作为参照价。若无预包装价格的，则以散装价格作为参照。</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（2）若采购产品未能在“莆田市发展和改革委员会官网——主要商品行情”查询到相应价格的，则以永辉超市（福建莆田市仙游鲤城广场店）、冠超市、凤凰百货三家的正常销售价的平均值作为参照价格。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若采购产品在“莆田市发展和改革委员会官网——主要商品行情”未有公布市场价格，在永辉超市（福建莆田仙游鲤城广场店）、冠超市、凤凰百货也未能采集到价格，则由双方共同市场询价确认后作为此类产品的参照价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（4）价格每一个月确定一次，以当月的5、15、25日三天通过以上相应渠道所采集价格的平均价格作为参照价格。价格清单由中标人采集后提供给采购人确认。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（5）结算价格=参照价格*（1-投标报价下浮率），价格四舍五入，保留小数点后2位数。</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4、本合同包报价下浮率须≥6.00%。</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5、报价低于规定下浮率的投标人为无效投标行为。</w:t>
      </w:r>
    </w:p>
    <w:p>
      <w:pPr>
        <w:spacing w:line="360" w:lineRule="auto"/>
        <w:rPr>
          <w:rFonts w:asciiTheme="minorEastAsia" w:hAnsiTheme="minorEastAsia" w:eastAsiaTheme="minorEastAsia"/>
          <w:b/>
          <w:sz w:val="28"/>
        </w:rPr>
      </w:pPr>
    </w:p>
    <w:p>
      <w:pPr>
        <w:pStyle w:val="3"/>
        <w:spacing w:before="0" w:after="0" w:line="360" w:lineRule="auto"/>
      </w:pPr>
      <w:r>
        <w:rPr>
          <w:rFonts w:hint="eastAsia"/>
        </w:rPr>
        <w:t>合同包1评分标准</w:t>
      </w:r>
    </w:p>
    <w:p>
      <w:pPr>
        <w:spacing w:line="360" w:lineRule="auto"/>
        <w:rPr>
          <w:rFonts w:asciiTheme="minorEastAsia" w:hAnsiTheme="minorEastAsia" w:eastAsiaTheme="minorEastAsia"/>
          <w:b/>
          <w:sz w:val="28"/>
        </w:rPr>
      </w:pPr>
      <w:r>
        <w:rPr>
          <w:rFonts w:hint="eastAsia" w:asciiTheme="minorEastAsia" w:hAnsiTheme="minorEastAsia" w:eastAsiaTheme="minorEastAsia"/>
          <w:b/>
          <w:sz w:val="28"/>
        </w:rPr>
        <w:t>价格部分：50分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价格项评审因素得分＝（评标基准价/投标报价）×100×价格项评审因素所占的权重（注：满足招标文件要求且投标价格最低的投标报价为评标基准价。）</w:t>
      </w:r>
    </w:p>
    <w:p>
      <w:pPr>
        <w:rPr>
          <w:rFonts w:asciiTheme="minorEastAsia" w:hAnsiTheme="minorEastAsia" w:eastAsiaTheme="minorEastAsia"/>
          <w:b/>
          <w:sz w:val="28"/>
        </w:rPr>
      </w:pPr>
      <w:r>
        <w:rPr>
          <w:rFonts w:hint="eastAsia" w:asciiTheme="minorEastAsia" w:hAnsiTheme="minorEastAsia" w:eastAsiaTheme="minorEastAsia"/>
          <w:b/>
          <w:sz w:val="28"/>
        </w:rPr>
        <w:t>技术部分：35分</w:t>
      </w:r>
    </w:p>
    <w:tbl>
      <w:tblPr>
        <w:tblStyle w:val="10"/>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78"/>
        <w:gridCol w:w="993"/>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778"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项目</w:t>
            </w:r>
          </w:p>
        </w:tc>
        <w:tc>
          <w:tcPr>
            <w:tcW w:w="993"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分值</w:t>
            </w:r>
          </w:p>
        </w:tc>
        <w:tc>
          <w:tcPr>
            <w:tcW w:w="6452"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color w:val="000000"/>
                <w:sz w:val="24"/>
              </w:rPr>
              <w:t>1、常温车辆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拟为本项目配备的食材配送车辆进行评价：每配备一辆食材配送车(厢式运输车或面包车运输车辆)得1分，满分2分。属于自有车辆的应提供购买发票(内容应体现车辆名称)有效复印件，发票购买方名称需与投标人一致，且须提供在国家税务总局增值税发票查验平台上对该发票查验结果的截图及有效车辆行驶证复印件；属于租赁的需提供租赁合同有效复印件(租赁合同应覆盖整个项目服务期)、购买发票(内容应体现车辆名称) 有效复印件，发票购买方名称需与出租人一致，且须提供在国家税务总局增值税发票查验平台上对该发票查验结果的截图及有效车辆行驶证复印件；未按上述要求提供或不满足不得分。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commentRangeStart w:id="0"/>
            <w:r>
              <w:rPr>
                <w:rFonts w:hint="eastAsia" w:cs="楷体" w:asciiTheme="minorEastAsia" w:hAnsiTheme="minorEastAsia" w:eastAsiaTheme="minorEastAsia"/>
                <w:sz w:val="24"/>
              </w:rPr>
              <w:t>2、冷藏车辆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color w:val="FF0000"/>
                <w:sz w:val="24"/>
              </w:rPr>
            </w:pPr>
            <w:r>
              <w:rPr>
                <w:rFonts w:hint="eastAsia" w:cs="楷体" w:asciiTheme="minorEastAsia" w:hAnsiTheme="minorEastAsia" w:eastAsiaTheme="minorEastAsia"/>
                <w:sz w:val="24"/>
              </w:rPr>
              <w:t>根据投标人拟为本项目配备的食材配送冷藏车辆进行评价：每配备一辆食材配送冷藏车得1分，满分2分。属于自有车辆的应提供车辆购置发票有效复印件(发票中车辆类型应体现冷藏车)及有效车辆行驶证复印件；属于租赁的需提供租赁合同有效复印件(租赁合同应覆盖整个项目服务期)、有效车辆行驶证复印件、购置发票有效复印件(发票中车辆类型应体现冷藏车)；未按上述要求提供或不满足不得分。</w:t>
            </w:r>
            <w:commentRangeEnd w:id="0"/>
            <w:r>
              <w:rPr>
                <w:rStyle w:val="12"/>
              </w:rPr>
              <w:comment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commentRangeStart w:id="1"/>
            <w:r>
              <w:rPr>
                <w:rFonts w:hint="eastAsia" w:cs="楷体" w:asciiTheme="minorEastAsia" w:hAnsiTheme="minorEastAsia" w:eastAsiaTheme="minorEastAsia"/>
                <w:sz w:val="24"/>
              </w:rPr>
              <w:t>3、仓储情况</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需配备有食材保鲜库及冷冻库(主要考察保鲜库及冷冻库整体实力)。注：同时提供①保鲜库及冷冻库现场照片、监控设备所在位置照片、监控画面；②保鲜库及冷冻库的使用权及面积证明(以下二选一即可)：a.场地自购的提供场地的产权证明(产权所有人可以是投标人或其法定代表人)；b.场地租赁的须同时提供租赁合同、以及产权所有人的产权证明(存在转租等情形的还须提供可追溯至产权所有人的其他佐证)。提供完整证明材料的得2分。未按上述要求提供或不满足的不得分。</w:t>
            </w:r>
            <w:commentRangeEnd w:id="1"/>
            <w:r>
              <w:rPr>
                <w:rStyle w:val="12"/>
              </w:rP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4、一品一码</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投标人提供产品货源可追溯管理机制，要求实现全程可追溯。提供产品可追溯相关证明材料并作出承诺的得1分，未完整提供的不得分。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5、服务人员</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保障本项目实施的服务人员进行评价：为保障服务品质及正常履约的需要，投标人需对投入该项目服务人员合理分工作出计划(分拣、物流、交接、管理、数据处理等岗位)，根据投标人对本项目投入人员配置、分工情况进行评价：投入该项目服务人员≥18人的得3分；18人＞投入该项目服务人员≥15人的得2分；15人＞投入该项目服务人员≥10人的得1分；其余的不得分。【投标人需提供拟投入本项目人员清单(清单内需体现人员分工情况)、投标截止时间前6个月（不含投标截止时间当月）中任意一个月由投标人为其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6、项目负责人</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根据投标人拟配置本项目的负责人资质情况进行评价：</w:t>
            </w:r>
          </w:p>
          <w:p>
            <w:pPr>
              <w:rPr>
                <w:rFonts w:cs="楷体" w:asciiTheme="minorEastAsia" w:hAnsiTheme="minorEastAsia" w:eastAsiaTheme="minorEastAsia"/>
                <w:sz w:val="24"/>
              </w:rPr>
            </w:pPr>
            <w:r>
              <w:rPr>
                <w:rFonts w:hint="eastAsia" w:cs="楷体" w:asciiTheme="minorEastAsia" w:hAnsiTheme="minorEastAsia" w:eastAsiaTheme="minorEastAsia"/>
                <w:sz w:val="24"/>
              </w:rPr>
              <w:t>①年龄不超过50周岁(以身份证为准)，具有全日制大专及以上学历【需提供身份证有效复印件、学历证书有效复印件及学信网查询截图】；②持有职业培训中心颁发的食品安全管理员培训证书。符合以上2项要求的得2分，其他情况不得分。【以上①-②项还需提供人员健康证有效复印件、投标截止时间前6个月（不含投标截止时间当月）中任意一个月由投标人为其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7、食品安全员</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根据投标人拟派本项目的食品安全员资质情况进行评价：</w:t>
            </w:r>
          </w:p>
          <w:p>
            <w:pPr>
              <w:rPr>
                <w:rFonts w:cs="楷体" w:asciiTheme="minorEastAsia" w:hAnsiTheme="minorEastAsia" w:eastAsiaTheme="minorEastAsia"/>
                <w:sz w:val="24"/>
              </w:rPr>
            </w:pPr>
            <w:r>
              <w:rPr>
                <w:rFonts w:hint="eastAsia" w:cs="楷体" w:asciiTheme="minorEastAsia" w:hAnsiTheme="minorEastAsia" w:eastAsiaTheme="minorEastAsia"/>
                <w:sz w:val="24"/>
              </w:rPr>
              <w:t>①年龄不超过50周岁(以身份证为准）需提供身份证有效复印件】；②持有相关部门颁发的食品检验员证书。符合以上2项要求的得2分，其他情况不得分。【以上①-②项还需提供人员健康证有效复印件、投标截止时间前6个月（不含投标截止时间当月）中任意一个月由投标人为其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8、食品检验报告</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根据投标人提供的相关食材检验报告情况进行评分：自2023年1 月1日以来送检食材（含大米、食用油、小麦粉、调味品）合格检验报告，送检单位需为投标人，需提供国家认可的检测机构出具的带有CMA或CNAS标志的检验报告复印件，每提供1份得0.5分，满分2分。原件备查。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commentRangeStart w:id="2"/>
            <w:r>
              <w:rPr>
                <w:rFonts w:hint="eastAsia" w:cs="楷体" w:asciiTheme="minorEastAsia" w:hAnsiTheme="minorEastAsia" w:eastAsiaTheme="minorEastAsia"/>
                <w:sz w:val="24"/>
              </w:rPr>
              <w:t>9、食品检验设备</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建有自有的食品质量检测室，具备开展检测工作能力，具备相关检测仪器设备≥2台（如食品安全检测仪器、农残兽残检测仪器等），全部符合得2分。投标人须提供食品质量检测室及检测设备的相关照片、检测设备采购发票复印件以及检测设备计量检定或校准证书复印件，未完整提供证明材料的不得分，原件备查。中标后采购人将进行场地实地核查，发现虚假应标，取消中标人资格，并追究有关法律经济责任。</w:t>
            </w:r>
            <w:commentRangeEnd w:id="2"/>
            <w:r>
              <w:rPr>
                <w:rStyle w:val="12"/>
              </w:rPr>
              <w:comment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10、软件能力</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根据各投标人提供的线上自助下单，支持电脑、手机等移动终端平台自助下单，由磋商小组进行评议，满足的得1分。须提供平台地址、平台截图及操作说明，未提供的不得分。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11、退换货承诺</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投标人所配送食品质量等不符合采购人要求的，采购人有权要求退换货，投标人必须在采购人要求的时间内补齐，由此产生的一切费用由投标人承担，投标人需提供书面承诺，满足的得1分，否则不得分。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12、日常配送方案</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针对本项目提供的日常配送保障方案情况（包含配送流程图、配送保障措施、供应食材标准等）进行评价，对以上各部分内容均做出完整响应，内容符合本项目实际需求的得1分；在此基础上能够结合项目情况，提供日常配送保障方案完整，内容全面详尽，重点突出、能够保障项目顺利实施的得2分；未提供或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13、应急保障方案</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根据投标人针对本项目所提供的应急保障方案(包括但不限于临时任务、节假日、考评、检查、重要或大型活动、防洪防台风、疫情期间防控防疫等) 进行评价，提供有应急保障方案的得1分；在此基础上能够结合项目情况，提供详细具体的方案，处理程序、措施思路清晰，应急响应及时，保障项目顺利实施的得2分；未提供或不可行的不得分。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14、食材安全措施</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为保证食材安全采取的保障措施及服务承诺情况进行评价，提供有保障措施及服务承诺的得1分；在此基础上能够针对本项目情况提供具体可行的保障措施，服务人员安排，确保项目顺利实施的得2分；不可行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15、卫生事故应急</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提供的食品安全卫生事故应急方案进行评价，提供有食品安全卫生事故应急方案的得1分；在此基础上能够针对本项目情况提供具体可行的保障措施，处理程序、措施思路清晰，应急响应及时，确保项目顺利实施的得2分；不可行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16、客户方案</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根据投标人提供的客户沟通、客户投诉处理以及客户满意度调查方案进行评价：每提供一个详细方案的得 1 分，满分 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17、食材安全承诺</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投标人承诺保证日常配送供应的食材新鲜，没有污染、变质等现象，产品符合各类食品卫生标准，符合《中华人民共和国食品安全法》及相关质量法规的规定的得1分，须提供承诺函（格式自拟），否则不得分。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18、支持脱贫承诺</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合同履行期间，如遇政策要求（如：《关于运用政府采购政策支持脱贫攻坚的通知》），需要招标人优先采购或以预留采购份额方式采购贫困地区农副产品的，中标人不得有异议。投标人能对上述事项进行书面承诺的得1分，须提供书面承诺函（格式自拟），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19、人员健康</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食品经营人员必须每年进行健康检查，取得健康证明后方可参加工作，不得超期使用健康证明；食品配送人员需提供食品从业人员健康证（复印件），投标人需对此作出书面承诺，满足的得1分，否则不得分。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20、食品检测</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投标人若中标需每年提供一次食品检测报告，投标人需对此作出书面承诺（格式自拟），满足的得1分，否则不得分。</w:t>
            </w:r>
          </w:p>
        </w:tc>
      </w:tr>
    </w:tbl>
    <w:p>
      <w:pPr>
        <w:rPr>
          <w:rFonts w:asciiTheme="minorEastAsia" w:hAnsiTheme="minorEastAsia" w:eastAsiaTheme="minorEastAsia"/>
          <w:b/>
          <w:sz w:val="28"/>
        </w:rPr>
      </w:pPr>
      <w:r>
        <w:rPr>
          <w:rFonts w:asciiTheme="minorEastAsia" w:hAnsiTheme="minorEastAsia" w:eastAsiaTheme="minorEastAsia"/>
          <w:b/>
          <w:sz w:val="28"/>
        </w:rPr>
        <w:t>商务</w:t>
      </w:r>
      <w:r>
        <w:rPr>
          <w:rFonts w:hint="eastAsia" w:asciiTheme="minorEastAsia" w:hAnsiTheme="minorEastAsia" w:eastAsiaTheme="minorEastAsia"/>
          <w:b/>
          <w:sz w:val="28"/>
        </w:rPr>
        <w:t>部分：15分</w:t>
      </w:r>
    </w:p>
    <w:tbl>
      <w:tblPr>
        <w:tblStyle w:val="10"/>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77"/>
        <w:gridCol w:w="993"/>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777"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项目</w:t>
            </w:r>
          </w:p>
        </w:tc>
        <w:tc>
          <w:tcPr>
            <w:tcW w:w="993"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分值</w:t>
            </w:r>
          </w:p>
        </w:tc>
        <w:tc>
          <w:tcPr>
            <w:tcW w:w="6452"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1、质量管理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质量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2、环境管理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供投标人通过ISO或GB/T环境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3、职业健康安全管理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职业健康安全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4、食品安全管理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食品安全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5、危害分析关键控制点（HACCP）</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危害分析关键控制点（HACCP）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6、生鲜农产品配送服务认证</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生鲜农产品配送服务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7、社会责任标准体系认证</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社会责任标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8、风险管理体系认证</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风险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9、类似业绩</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自2020年1月1日起至投标截止时间止（以合同签订时间为准）完成过类似食材配送项目的业绩情况进行评价：每提供1个完整有效业绩得1分，满分3分。【说明：有效业绩证明材料完整包括该业绩的中标（成交）公告[提供相关网站中标（成交）公告的下载网页及其网址]、中标（成交）通知书复印件、采购合同文本复印件。如未按要求提供该项业绩完整证明材料的，评审小组对该项业绩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10、食品安全责任险</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或投标产品具有食品安全保险保障提供保险单且保险金额≥5000万得3分；5000万＞保险金额≥2000万得2分；2000万＞保险金额得1分。投标人须提供有效保险单及发票复印件且在投标截止时间前1个月投保，未提供或提供不全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11、食品安全声明</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自 2020 年 1 月 1 日以来，投标人、投标人的分公司及子公司均未因食品安全问题或食品生产问题被行政处罚并被公告的得 1分，须提供声明函 (格式自拟)，未提供声明函的或存在被行政处罚的不得分。注：如若中标后发现虚假声明的，属于提供虚假材料谋取中标，取消中标资格并应承担相应责任。</w:t>
            </w:r>
          </w:p>
        </w:tc>
      </w:tr>
    </w:tbl>
    <w:p>
      <w:pPr>
        <w:rPr>
          <w:rFonts w:asciiTheme="minorEastAsia" w:hAnsiTheme="minorEastAsia" w:eastAsiaTheme="minorEastAsia"/>
          <w:b/>
          <w:sz w:val="28"/>
        </w:rPr>
      </w:pPr>
    </w:p>
    <w:p>
      <w:pPr>
        <w:pStyle w:val="2"/>
        <w:spacing w:before="0" w:after="0" w:line="360" w:lineRule="auto"/>
        <w:rPr>
          <w:sz w:val="32"/>
        </w:rPr>
      </w:pPr>
      <w:r>
        <w:rPr>
          <w:rFonts w:hint="eastAsia"/>
          <w:sz w:val="32"/>
        </w:rPr>
        <w:t>合同包2：鲜肉、禽蛋</w:t>
      </w:r>
    </w:p>
    <w:p>
      <w:pPr>
        <w:pStyle w:val="3"/>
        <w:spacing w:before="0" w:after="0" w:line="360" w:lineRule="auto"/>
        <w:rPr>
          <w:sz w:val="28"/>
        </w:rPr>
      </w:pPr>
      <w:r>
        <w:rPr>
          <w:rFonts w:hint="eastAsia"/>
          <w:sz w:val="28"/>
        </w:rPr>
        <w:t>技术和服务要求（以下内容为不允许负偏离的实质性要求）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b/>
          <w:sz w:val="24"/>
        </w:rPr>
        <w:t>本合同包合同期限为一年。</w:t>
      </w:r>
      <w:r>
        <w:rPr>
          <w:rFonts w:hint="eastAsia" w:asciiTheme="minorEastAsia" w:hAnsiTheme="minorEastAsia" w:eastAsiaTheme="minorEastAsia"/>
          <w:sz w:val="24"/>
        </w:rPr>
        <w:t>采购人每学期进行大宗食品原料供应满意度调查测评一次，对食品原料质量、数量、价格和服务等方面进行全面评价，要求测评综合满意度合格率均达80％及以上。合同期内，满意度测评合格率低于80%的，采购人可立即终止采购合同。如果合同期内，测评综合满意度合格率均达85%及以上的，经采购人与中标人协商后，采购人有权决定是否续签下一年度合同。若未能续签下一年度合同的，合同到期后新一轮的中标投标人未确定，则由原中标人继续食堂大宗食品集中采购配送工作，直至新投标人确定为止，中标人不得以任何理由拒绝，否则履约保证金不予以退还。</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2、投标货物中的鲜肉必须具有动物检疫合格证。</w:t>
      </w:r>
      <w:r>
        <w:rPr>
          <w:rFonts w:asciiTheme="minorEastAsia" w:hAnsiTheme="minorEastAsia" w:eastAsiaTheme="minorEastAsia"/>
          <w:b/>
          <w:sz w:val="24"/>
        </w:rPr>
        <w:t>投标人在莆田市内具有专用封闭式配送的冷藏设备车辆，投标时需要提供证明材料。</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鲜肉必须是放心肉，为在政府规定的屠宰场厂（所）屠杀的生鲜禽畜肉，能够提供屠宰证明、检疫证明，并有加盖检疫标志（农业部门尚未出台检疫规程，无法出具检疫证明的除外）；猪肉产品，除提供动物检疫合格证明外，还应提供农业主管部门《肉品品质检验合格证明》；提供的肉品应去除杂毛污物、无异味。</w:t>
      </w:r>
      <w:r>
        <w:rPr>
          <w:rFonts w:hint="eastAsia" w:asciiTheme="minorEastAsia" w:hAnsiTheme="minorEastAsia" w:eastAsiaTheme="minorEastAsia"/>
          <w:b/>
          <w:sz w:val="24"/>
        </w:rPr>
        <w:t xml:space="preserve">所有供货产品根据采购人需求（种类、品牌、数量等）进行采购，供货前须通过采购人确认，产品质量须经采购人验证合格后方可供货。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4、禽蛋类产品必须为无公害认证的农业基地产品，且保证新鲜，每箱碎蛋个数不超过5%，重量相差不超过0.25KG。</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5、参照价格及结算价格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（1）供货价格以“莆田市发展和改革委员会官网——主要商品行情”每日公布的价格为实时市场参照价格，价格每一个月确定一次，以当月的5、15、25日三天公布价格的平均价格作为参照价。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（2）若采购产品未能在“莆田市发展和改革委员会官网——主要商品行情”查询到相应价格的，则以永辉超市（福建莆田市仙游鲤城广场店）、冠超市、凤凰百货三家的正常销售价的平均值作为参照价格。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若采购产品在“莆田市发展和改革委员会官网——主要商品行情”未有公布市场价格，在永辉超市（福建莆田仙游鲤城广场店）、冠超市、凤凰百货也未能采集到价格，则由双方共同市场询价确认后作为此类产品的参照价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（4）价格每一个月确定一次，以当月的5、15、25日三天通过以上相应渠道所采集价格的平均价格作为参照价格。价格清单由中标人采集后提供给采购人确认。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（5）结算价格=参照价格*（1-投标报价下浮率），价格四舍五入，保留小数点后2位数。</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6、本合同包报价下浮率须≥6.00%。</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7、报价低于规定下浮率的投标人为无效投标行为。</w:t>
      </w:r>
    </w:p>
    <w:p>
      <w:pPr>
        <w:spacing w:line="360" w:lineRule="auto"/>
        <w:rPr>
          <w:rFonts w:asciiTheme="minorEastAsia" w:hAnsiTheme="minorEastAsia" w:eastAsiaTheme="minorEastAsia"/>
          <w:sz w:val="28"/>
        </w:rPr>
      </w:pPr>
    </w:p>
    <w:p>
      <w:pPr>
        <w:pStyle w:val="3"/>
        <w:spacing w:before="0" w:after="0" w:line="360" w:lineRule="auto"/>
      </w:pPr>
      <w:r>
        <w:rPr>
          <w:rFonts w:hint="eastAsia"/>
        </w:rPr>
        <w:t>合同包2评分标准</w:t>
      </w:r>
    </w:p>
    <w:p>
      <w:pPr>
        <w:spacing w:line="360" w:lineRule="auto"/>
        <w:rPr>
          <w:rFonts w:asciiTheme="minorEastAsia" w:hAnsiTheme="minorEastAsia" w:eastAsiaTheme="minorEastAsia"/>
          <w:b/>
          <w:sz w:val="28"/>
        </w:rPr>
      </w:pPr>
      <w:r>
        <w:rPr>
          <w:rFonts w:hint="eastAsia" w:asciiTheme="minorEastAsia" w:hAnsiTheme="minorEastAsia" w:eastAsiaTheme="minorEastAsia"/>
          <w:b/>
          <w:sz w:val="28"/>
        </w:rPr>
        <w:t>价格部分：50分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价格项评审因素得分＝（评标基准价/投标报价）×100×价格项评审因素所占的权重（注：满足招标文件要求且投标价格最低的投标报价为评标基准价。）</w:t>
      </w:r>
    </w:p>
    <w:p>
      <w:pPr>
        <w:rPr>
          <w:rFonts w:asciiTheme="minorEastAsia" w:hAnsiTheme="minorEastAsia" w:eastAsiaTheme="minorEastAsia"/>
          <w:b/>
          <w:sz w:val="28"/>
        </w:rPr>
      </w:pPr>
      <w:r>
        <w:rPr>
          <w:rFonts w:hint="eastAsia" w:asciiTheme="minorEastAsia" w:hAnsiTheme="minorEastAsia" w:eastAsiaTheme="minorEastAsia"/>
          <w:b/>
          <w:sz w:val="28"/>
        </w:rPr>
        <w:t>技术部分：35分</w:t>
      </w:r>
    </w:p>
    <w:tbl>
      <w:tblPr>
        <w:tblStyle w:val="10"/>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34"/>
        <w:gridCol w:w="851"/>
        <w:gridCol w:w="6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1834"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项目</w:t>
            </w:r>
          </w:p>
        </w:tc>
        <w:tc>
          <w:tcPr>
            <w:tcW w:w="851"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分值</w:t>
            </w:r>
          </w:p>
        </w:tc>
        <w:tc>
          <w:tcPr>
            <w:tcW w:w="6538"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1、供货系统配置</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加工、包装、检验、储存、配送等整个供货系统的配置及管理情况进行综合评价：供货系统配置全面完善，描述详尽具体，管理合理，工作环节重点突出，能够切实保障项目实施的得3分；供货系统配置较为完善，描述较为具体，管理较为合理，工作环节较为突出，能够较大程度保障项目实施的得2分；供货系统配置基本完善，描述不够详尽具体，管理基本合理，工作环节突出一般，能够基本保障项目实施的得1分；方案不合理或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2、档案管理方案</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日常服务记录档案、特别情况记录、凭证、单据等档案管理方案进行评价：方案详尽全面，档案管理科学有序，能够保障日常服务及时记录、完整准确的得2分；方案较为详细全面，档案管理较为科学，能够基本保障日常服务记录及准确性的得1分；方案不合理或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3、食品退换货方案</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针对本项目提供的食品退换货方案进行评分：方案内容全面且符合项目实际情况，具体及时有效处理退换货的得2分；方案制定基本符合项目情况，基本可行的得1分；方案不合理或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4、采购管理</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为确实保障采购人原材料采购管理，根据投标人提供的本项目的原材料采购管理方案、投标人通过绿色供应链评价体系认证、投标人通过供应链安全管理体系评价认证进行评分；以上每提供一项得1分，满分3分。投标人须提供原材料采购管理方案、截止至招标公告发布之前通过的体系认证证书及全国认证认可信息公共服务平台(http://www.cnca.gov.cn/)查询截图并加盖投标人公章，未提供或提供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5、配送中心</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具有面积&gt;1000平方米的食材配送中心得1分；2000平方米&gt;面积≥1000平方米的食材配送中心得2分；3000平方米&gt;面积≥2000平方米的食材配送中心得3分。【若配送中心场地为自有的须提供产权证明复印件；若配送中心场地为租赁的须提供租赁合同复印件且租赁合同（租赁合同要涵盖本项目服务期）。中标后采购人将进行场地实地核查，若发现虚假应标，除不退还保证金外，将取消中标人资格，并追究有关法律经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6、仓储能力</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拥有食品储存冷库或冷藏或保鲜库≥100立方米的得1分，每增加100立方米加1分，满分3分。投标人需提供不同角度的仓库照片（至少5张）及仓库的产权证明佐证，若为租赁场地还须提供租赁合同佐证，否则不得分。中标后采购人将进行场地实地核查，若发现虚假应标，除不退还保证金外，将取消中标人资格，并追究有关法律经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rPr>
                <w:rFonts w:cs="楷体" w:asciiTheme="minorEastAsia" w:hAnsiTheme="minorEastAsia" w:eastAsiaTheme="minorEastAsia"/>
                <w:sz w:val="24"/>
              </w:rPr>
            </w:pPr>
            <w:commentRangeStart w:id="3"/>
            <w:r>
              <w:rPr>
                <w:rFonts w:hint="eastAsia" w:cs="楷体" w:asciiTheme="minorEastAsia" w:hAnsiTheme="minorEastAsia" w:eastAsiaTheme="minorEastAsia"/>
                <w:sz w:val="24"/>
              </w:rPr>
              <w:t>7、生产设备</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具备已在使用的生产线，包括但不限于肉禽气调包装机、肉丝肉片及禽类切块机、毛刷去皮机等，每提供一类设备得1分，满分3分；需提供设备购置合同、发票扫描件（购买方名称需与投标人一致，且须提供在国家税务总局增值税发票查验平台上对该发票查验结果的截图）、设备现场照片，否则不得分，并且承诺中标后配合采购人查验合同、发票原件。</w:t>
            </w:r>
            <w:commentRangeEnd w:id="3"/>
            <w:r>
              <w:rPr>
                <w:rStyle w:val="12"/>
              </w:rPr>
              <w:comment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Merge w:val="restart"/>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8、配送能力</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须具有履行合同的基本能力，提供及时的配送服务，投标人至少提供一辆冷藏车，在此基础上每提供1辆冷藏车或其他配送车的得1分，满分2分。【说明：投标人应提供车辆近照、行驶证、登记证复印件等证明材料，若为租赁的，还应提供租赁协议复印件（租赁期必须不少于本项目的合同期），不提供或提供证明材料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Merge w:val="continue"/>
            <w:vAlign w:val="center"/>
          </w:tcPr>
          <w:p>
            <w:pPr>
              <w:ind w:left="210"/>
              <w:rPr>
                <w:rFonts w:cs="楷体" w:asciiTheme="minorEastAsia" w:hAnsiTheme="minorEastAsia" w:eastAsiaTheme="minorEastAsia"/>
                <w:sz w:val="24"/>
              </w:rPr>
            </w:pP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能为本项目提供的配送人员进行评价：提供3名及以上的得1分；提供5名及以上的得2分；提供8名以上的得3分。【须提供投标截止时间前六个月任意一个月（不含投标截止时间的当月）投标人为人员缴纳社保的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Merge w:val="restart"/>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9、管理人员</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538" w:type="dxa"/>
            <w:vAlign w:val="center"/>
          </w:tcPr>
          <w:p>
            <w:pPr>
              <w:wordWrap w:val="0"/>
              <w:rPr>
                <w:rFonts w:cs="楷体" w:asciiTheme="minorEastAsia" w:hAnsiTheme="minorEastAsia" w:eastAsiaTheme="minorEastAsia"/>
                <w:sz w:val="24"/>
              </w:rPr>
            </w:pPr>
            <w:r>
              <w:rPr>
                <w:rFonts w:hint="eastAsia" w:cs="楷体" w:asciiTheme="minorEastAsia" w:hAnsiTheme="minorEastAsia" w:eastAsiaTheme="minorEastAsia"/>
                <w:sz w:val="24"/>
              </w:rPr>
              <w:t>拟任项目经理具有食品安全管理员证书、大专及以上学历且是食品检测相关专业毕业的，提供资质证书在颁证机构上的网上查询截图，学历证书必须能在学信网（https://www.chsi.com.cn/）查询并附截图。还须提供项目经理有效身份证、健康证及投标截止时间前六个月任意一个月（不含投标截止时间的当月）投标人为其缴纳社保的证明材料。以上资质应同时具有，否则评标委将不予认可（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Merge w:val="continue"/>
            <w:vAlign w:val="center"/>
          </w:tcPr>
          <w:p>
            <w:pPr>
              <w:rPr>
                <w:rFonts w:cs="楷体" w:asciiTheme="minorEastAsia" w:hAnsiTheme="minorEastAsia" w:eastAsiaTheme="minorEastAsia"/>
                <w:sz w:val="24"/>
              </w:rPr>
            </w:pP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538" w:type="dxa"/>
            <w:vAlign w:val="center"/>
          </w:tcPr>
          <w:p>
            <w:pPr>
              <w:wordWrap w:val="0"/>
              <w:rPr>
                <w:rFonts w:cs="楷体" w:asciiTheme="minorEastAsia" w:hAnsiTheme="minorEastAsia" w:eastAsiaTheme="minorEastAsia"/>
                <w:sz w:val="24"/>
              </w:rPr>
            </w:pPr>
            <w:r>
              <w:rPr>
                <w:rFonts w:hint="eastAsia" w:cs="楷体" w:asciiTheme="minorEastAsia" w:hAnsiTheme="minorEastAsia" w:eastAsiaTheme="minorEastAsia"/>
                <w:sz w:val="24"/>
              </w:rPr>
              <w:t>根据投标人拟派本项目的食品安全员资质情况进行评价：</w:t>
            </w:r>
          </w:p>
          <w:p>
            <w:pPr>
              <w:wordWrap w:val="0"/>
              <w:rPr>
                <w:rFonts w:cs="楷体" w:asciiTheme="minorEastAsia" w:hAnsiTheme="minorEastAsia" w:eastAsiaTheme="minorEastAsia"/>
                <w:sz w:val="24"/>
              </w:rPr>
            </w:pPr>
            <w:r>
              <w:rPr>
                <w:rFonts w:hint="eastAsia" w:cs="楷体" w:asciiTheme="minorEastAsia" w:hAnsiTheme="minorEastAsia" w:eastAsiaTheme="minorEastAsia"/>
                <w:sz w:val="24"/>
              </w:rPr>
              <w:t>①年龄不超过50周岁(以身份证为准），需提供身份证有效复印件；②持有相关部门颁发的食品检验员证书。</w:t>
            </w:r>
          </w:p>
          <w:p>
            <w:pPr>
              <w:wordWrap w:val="0"/>
              <w:rPr>
                <w:rFonts w:cs="楷体" w:asciiTheme="minorEastAsia" w:hAnsiTheme="minorEastAsia" w:eastAsiaTheme="minorEastAsia"/>
                <w:sz w:val="24"/>
              </w:rPr>
            </w:pPr>
            <w:r>
              <w:rPr>
                <w:rFonts w:hint="eastAsia" w:cs="楷体" w:asciiTheme="minorEastAsia" w:hAnsiTheme="minorEastAsia" w:eastAsiaTheme="minorEastAsia"/>
                <w:sz w:val="24"/>
              </w:rPr>
              <w:t>符合以上2项要求的得2分，其它情况不得分。【同时需提供人员健康证有效复印件、投标截止时间前六个月任意一个月（不含投标截止时间的当月）投标人为其缴纳社保的证明材料。】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rPr>
                <w:rFonts w:cs="楷体" w:asciiTheme="minorEastAsia" w:hAnsiTheme="minorEastAsia" w:eastAsiaTheme="minorEastAsia"/>
                <w:sz w:val="24"/>
                <w:highlight w:val="green"/>
              </w:rPr>
            </w:pPr>
            <w:commentRangeStart w:id="4"/>
            <w:r>
              <w:rPr>
                <w:rFonts w:hint="eastAsia" w:cs="楷体" w:asciiTheme="minorEastAsia" w:hAnsiTheme="minorEastAsia" w:eastAsiaTheme="minorEastAsia"/>
                <w:sz w:val="24"/>
              </w:rPr>
              <w:t>10、食品检测设施</w:t>
            </w:r>
          </w:p>
        </w:tc>
        <w:tc>
          <w:tcPr>
            <w:tcW w:w="851" w:type="dxa"/>
            <w:vAlign w:val="center"/>
          </w:tcPr>
          <w:p>
            <w:pPr>
              <w:jc w:val="center"/>
              <w:rPr>
                <w:rFonts w:cs="楷体" w:asciiTheme="minorEastAsia" w:hAnsiTheme="minorEastAsia" w:eastAsiaTheme="minorEastAsia"/>
                <w:sz w:val="24"/>
                <w:highlight w:val="green"/>
              </w:rPr>
            </w:pPr>
            <w:r>
              <w:rPr>
                <w:rFonts w:hint="eastAsia" w:cs="楷体" w:asciiTheme="minorEastAsia" w:hAnsiTheme="minorEastAsia" w:eastAsiaTheme="minorEastAsia"/>
                <w:sz w:val="24"/>
              </w:rPr>
              <w:t>2</w:t>
            </w:r>
          </w:p>
        </w:tc>
        <w:tc>
          <w:tcPr>
            <w:tcW w:w="6538" w:type="dxa"/>
            <w:vAlign w:val="center"/>
          </w:tcPr>
          <w:p>
            <w:pPr>
              <w:rPr>
                <w:rFonts w:cs="楷体" w:asciiTheme="minorEastAsia" w:hAnsiTheme="minorEastAsia" w:eastAsiaTheme="minorEastAsia"/>
                <w:sz w:val="24"/>
                <w:highlight w:val="green"/>
              </w:rPr>
            </w:pPr>
            <w:r>
              <w:rPr>
                <w:rFonts w:hint="eastAsia" w:cs="楷体" w:asciiTheme="minorEastAsia" w:hAnsiTheme="minorEastAsia" w:eastAsiaTheme="minorEastAsia"/>
                <w:sz w:val="24"/>
              </w:rPr>
              <w:t>投标人建有自有的食品质量检测室，具备开展检测工作能力，提供相关检测仪器设备（如食品安全检测仪器、农残兽残检测仪器、瘦肉精检测仪器等），具备以上不同类型检测仪器≥2台的得2分，其他不得分。【需提供食品质量检测室及检测设备的相关照片、检测设备采购发票复印件以及检测设备计量检定或校准证书复印件，原件备查。中标后采购人将进行场地实地核查，发现虚假应标，取消中标人资格，并追究有关法律经济责任。】</w:t>
            </w:r>
            <w:commentRangeEnd w:id="4"/>
            <w:r>
              <w:rPr>
                <w:rStyle w:val="12"/>
              </w:rPr>
              <w:comment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11、软件能力</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根据各投标人提供的线上自助下单，支持电脑、手机等移动终端平台自助下单，由磋商小组进行评议，满足的得1分。须提供平台地址、平台截图及操作说明，未提供的不得分。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12、食材安全承诺</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投标人承诺保证日常配送供应的食材新鲜，没有污染、变质等现象，产品符合各类食品卫生标准，符合《中华人民共和国食品安全法》及相关质量法规的规定的得1分，须提供承诺函（格式自拟），否则不得分。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13、支持脱贫承诺</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合同履行期间，如遇政策要求（如：《关于运用政府采购政策支持脱贫攻坚的通知》），需要招标人优先采购或以预留采购份额方式采购贫困地区农副产品的，中标人不得有异议。投标人能对上述事项进行书面承诺的得1分，须提供书面承诺函（格式自拟），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14、人员健康</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食品经营人员必须每年进行健康检查，取得健康证明后方可参加工作，不得超期使用健康证明；食品配送人员需提供食品从业人员健康证（复印件），投标人需对此作出书面承诺，满足的得1分，否则不得分。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15、一品一码</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投标人提供产品货源可追溯管理机制，要求实现全程可追溯。提供产品可追溯相关证明材料并作出承诺的得1分，未完整提供的不得分。</w:t>
            </w:r>
          </w:p>
        </w:tc>
      </w:tr>
    </w:tbl>
    <w:p>
      <w:pPr>
        <w:rPr>
          <w:rFonts w:asciiTheme="minorEastAsia" w:hAnsiTheme="minorEastAsia" w:eastAsiaTheme="minorEastAsia"/>
          <w:b/>
          <w:sz w:val="28"/>
        </w:rPr>
      </w:pPr>
      <w:r>
        <w:rPr>
          <w:rFonts w:asciiTheme="minorEastAsia" w:hAnsiTheme="minorEastAsia" w:eastAsiaTheme="minorEastAsia"/>
          <w:b/>
          <w:sz w:val="28"/>
        </w:rPr>
        <w:t>商务部分：</w:t>
      </w:r>
      <w:r>
        <w:rPr>
          <w:rFonts w:hint="eastAsia" w:asciiTheme="minorEastAsia" w:hAnsiTheme="minorEastAsia" w:eastAsiaTheme="minorEastAsia"/>
          <w:b/>
          <w:sz w:val="28"/>
        </w:rPr>
        <w:t>15分</w:t>
      </w:r>
    </w:p>
    <w:tbl>
      <w:tblPr>
        <w:tblStyle w:val="10"/>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77"/>
        <w:gridCol w:w="993"/>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777"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项目</w:t>
            </w:r>
          </w:p>
        </w:tc>
        <w:tc>
          <w:tcPr>
            <w:tcW w:w="993"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分值</w:t>
            </w:r>
          </w:p>
        </w:tc>
        <w:tc>
          <w:tcPr>
            <w:tcW w:w="6452"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1、质量管理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质量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2、环境管理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供投标人通过ISO或GB/T环境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3、职业健康安全管理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职业健康安全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4、食品安全管理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食品安全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5、危害分析关键控制点（HACCP）</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危害分析关键控制点（HACCP）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6、生鲜农产品配送服务认证</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生鲜农产品配送服务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7、社会责任标准体系认证</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社会责任标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8、风险管理体系认证</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风险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9、类似业绩</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自2020年1月1日起至投标截止时间止（以合同签订时间为准）完成过类似食材配送项目的业绩情况进行评价：每提供1个完整有效业绩得1分，满分3分。【说明：有效业绩证明材料完整包括该业绩的中标（成交）公告[提供相关网站中标（成交）公告的下载网页及其网址]、中标（成交）通知书复印件、采购合同文本复印件。如未按要求提供该项业绩完整证明材料的，评审小组对该项业绩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10、食品安全责任险</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或投标产品具有食品安全保险保障提供保险单且保险金额≥5000万得3分；5000万＞保险金额≥2000万得2分；2000万＞保险金额得1分。投标人须提供有效保险单及发票复印件且在投标截止时间前1个月投保，未提供或提供不全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11、食品安全声明</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自 2020 年 1 月 1 日以来，投标人、投标人的分公司及子公司均未因食品安全问题或食品生产问题被行政处罚并被公告的得 1分，须提供声明函 (格式自拟)，未提供声明函的或存在被行政处罚的不得分。注：如若中标后发现虚假声明的，属于提供虚假材料谋取中标，取消中标资格并应承担相应责任。</w:t>
            </w:r>
          </w:p>
        </w:tc>
      </w:tr>
    </w:tbl>
    <w:p>
      <w:pPr>
        <w:rPr>
          <w:rFonts w:asciiTheme="minorEastAsia" w:hAnsiTheme="minorEastAsia" w:eastAsiaTheme="minorEastAsia"/>
          <w:sz w:val="28"/>
        </w:rPr>
      </w:pPr>
    </w:p>
    <w:p>
      <w:pPr>
        <w:pStyle w:val="2"/>
        <w:spacing w:before="0" w:after="0" w:line="360" w:lineRule="auto"/>
        <w:rPr>
          <w:sz w:val="32"/>
        </w:rPr>
      </w:pPr>
      <w:r>
        <w:rPr>
          <w:rFonts w:hint="eastAsia"/>
          <w:sz w:val="32"/>
        </w:rPr>
        <w:t>合同包3：蔬菜</w:t>
      </w:r>
    </w:p>
    <w:p>
      <w:pPr>
        <w:pStyle w:val="3"/>
        <w:spacing w:before="0" w:after="0" w:line="360" w:lineRule="auto"/>
        <w:rPr>
          <w:sz w:val="28"/>
        </w:rPr>
      </w:pPr>
      <w:r>
        <w:rPr>
          <w:rFonts w:hint="eastAsia"/>
          <w:sz w:val="28"/>
        </w:rPr>
        <w:t>技术和服务要求（以下内容为不允许负偏离的实质性要求）</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1、本合同包合同期限为一年。</w:t>
      </w:r>
      <w:r>
        <w:rPr>
          <w:rFonts w:hint="eastAsia" w:asciiTheme="minorEastAsia" w:hAnsiTheme="minorEastAsia" w:eastAsiaTheme="minorEastAsia"/>
          <w:sz w:val="24"/>
        </w:rPr>
        <w:t>采购人每学期进行大宗食品原料供应满意度调查测评一次，对食品原料质量、数量、价格和服务等方面进行全面评价，要求测评综合满意度合格率均达80％及以上。合同期内，满意度测评合格率低于80%的，采购人可立即终止采购合同。如果合同期内，测评综合满意度合格率均达85%及以上的，经采购人与中标人协商后，采购人有权决定是否续签下一年度合同。若未能续签下一年度合同的，合同到期后新一轮的中标投标人未确定，则由原中标人继续食堂大宗食品集中采购配送工作，直至新投标人确定为止，中标人不得以任何理由拒绝，否则履约保证金不予以退还。</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2、投标人需有一定的仓库能力，投标时需要提供证明材料。</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3、蔬菜应当是新鲜、青嫩、干净、无杂质、无杂草、无黄叶、无老叶、无浸水泡水或注水；所供蔬菜有害物质残留量不能超标，每批次都应附有所有品种的农残检测报告。</w:t>
      </w:r>
      <w:r>
        <w:rPr>
          <w:rFonts w:hint="eastAsia" w:asciiTheme="minorEastAsia" w:hAnsiTheme="minorEastAsia" w:eastAsiaTheme="minorEastAsia"/>
          <w:b/>
          <w:sz w:val="24"/>
        </w:rPr>
        <w:t xml:space="preserve">所有供货产品根据采购人需求（种类、品牌、数量等）进行采购，供货前须通过采购人确认，产品质量须经采购人验证合格后方可供货。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4、参照价格及结算价格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（1）供货价格以“莆田市发展和改革委员会官网——主要商品行情”每日公布的价格为实时市场参照价格，价格每一个月确定一次，以当月的5、15、25日三天公布价格的平均价格作为参照价。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（2）若采购产品未能在“莆田市发展和改革委员会官网——主要商品行情”查询到相应价格的，则以永辉超市（福建莆田市仙游鲤城广场店）、冠超市、凤凰百货三家的正常销售价的平均值作为参照价格。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若采购产品在“莆田市发展和改革委员会官网——主要商品行情”未有公布市场价格，在永辉超市（福建莆田仙游鲤城广场店）、冠超市、凤凰百货也未能采集到价格，则由双方共同市场询价确认后作为此类产品的参照价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（4）价格每一个月确定一次，以当月的5、15、25日三天通过以上相应渠道所采集价格的平均价格作为参照价格。价格清单由中标人采集后提供给采购人确认。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（5）结算价格=参照价格*（1-投标报价下浮率），价格四舍五入，保留小数点后2位数。</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5、本合同包报价下浮率须≥13.00%。</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6、报价低于规定下浮率的投标人为无效投标行为。</w:t>
      </w:r>
    </w:p>
    <w:p>
      <w:pPr>
        <w:spacing w:line="360" w:lineRule="auto"/>
        <w:rPr>
          <w:rFonts w:asciiTheme="minorEastAsia" w:hAnsiTheme="minorEastAsia" w:eastAsiaTheme="minorEastAsia"/>
          <w:b/>
          <w:sz w:val="28"/>
        </w:rPr>
      </w:pPr>
    </w:p>
    <w:p>
      <w:pPr>
        <w:pStyle w:val="3"/>
        <w:spacing w:before="0" w:after="0" w:line="360" w:lineRule="auto"/>
      </w:pPr>
      <w:r>
        <w:rPr>
          <w:rFonts w:hint="eastAsia"/>
        </w:rPr>
        <w:t>合同包3评分标准</w:t>
      </w:r>
    </w:p>
    <w:p>
      <w:pPr>
        <w:spacing w:line="360" w:lineRule="auto"/>
        <w:rPr>
          <w:rFonts w:asciiTheme="minorEastAsia" w:hAnsiTheme="minorEastAsia" w:eastAsiaTheme="minorEastAsia"/>
          <w:b/>
          <w:sz w:val="28"/>
        </w:rPr>
      </w:pPr>
      <w:r>
        <w:rPr>
          <w:rFonts w:hint="eastAsia" w:asciiTheme="minorEastAsia" w:hAnsiTheme="minorEastAsia" w:eastAsiaTheme="minorEastAsia"/>
          <w:b/>
          <w:sz w:val="28"/>
        </w:rPr>
        <w:t>价格部分：50分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价格项评审因素得分＝（评标基准价/投标报价）×100×价格项评审因素所占的权重（注：满足招标文件要求且投标价格最低的投标报价为评标基准价。）</w:t>
      </w:r>
    </w:p>
    <w:p>
      <w:pPr>
        <w:rPr>
          <w:rFonts w:asciiTheme="minorEastAsia" w:hAnsiTheme="minorEastAsia" w:eastAsiaTheme="minorEastAsia"/>
          <w:b/>
          <w:sz w:val="28"/>
        </w:rPr>
      </w:pPr>
      <w:r>
        <w:rPr>
          <w:rFonts w:hint="eastAsia" w:asciiTheme="minorEastAsia" w:hAnsiTheme="minorEastAsia" w:eastAsiaTheme="minorEastAsia"/>
          <w:b/>
          <w:sz w:val="28"/>
        </w:rPr>
        <w:t>技术部分：35分</w:t>
      </w:r>
    </w:p>
    <w:tbl>
      <w:tblPr>
        <w:tblStyle w:val="10"/>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78"/>
        <w:gridCol w:w="993"/>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778"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项目</w:t>
            </w:r>
          </w:p>
        </w:tc>
        <w:tc>
          <w:tcPr>
            <w:tcW w:w="993"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分值</w:t>
            </w:r>
          </w:p>
        </w:tc>
        <w:tc>
          <w:tcPr>
            <w:tcW w:w="6452"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color w:val="000000"/>
                <w:sz w:val="24"/>
              </w:rPr>
              <w:t>1、常温车辆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拟为本项目配备的食材配送车辆进行评价：每配备一辆食材配送车(厢式运输车或面包车运输车辆)得1分，满分2分。属于自有车辆的应提供购买发票(内容应体现车辆名称)有效复印件，发票购买方名称需与投标人一致，且须提供在国家税务总局增值税发票查验平台上对该发票查验结果的截图及有效车辆行驶证复印件；属于租赁的需提供租赁合同有效复印件(租赁合同应覆盖整个项目服务期)、购买发票(内容应体现车辆名称) 有效复印件，发票购买方名称需与出租人一致，且须提供在国家税务总局增值税发票查验平台上对该发票查验结果的截图及有效车辆行驶证复印件；未按上述要求提供或不满足不得分。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2、冷藏车辆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color w:val="FF0000"/>
                <w:sz w:val="24"/>
              </w:rPr>
            </w:pPr>
            <w:r>
              <w:rPr>
                <w:rFonts w:hint="eastAsia" w:cs="楷体" w:asciiTheme="minorEastAsia" w:hAnsiTheme="minorEastAsia" w:eastAsiaTheme="minorEastAsia"/>
                <w:sz w:val="24"/>
              </w:rPr>
              <w:t>根据投标人拟为本项目配备的食材配送冷藏车辆进行评价：每配备一辆食材配送冷藏车得1分，满分2分。属于自有车辆的应提供车辆购置发票有效复印件(发票中车辆类型应体现冷藏车)及有效车辆行驶证复印件；属于租赁的需提供租赁合同有效复印件(租赁合同应覆盖整个项目服务期)、有效车辆行驶证复印件、购置发票有效复印件(发票中车辆类型应体现冷藏车)；未按上述要求提供或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commentRangeStart w:id="5"/>
            <w:r>
              <w:rPr>
                <w:rFonts w:hint="eastAsia" w:cs="楷体" w:asciiTheme="minorEastAsia" w:hAnsiTheme="minorEastAsia" w:eastAsiaTheme="minorEastAsia"/>
                <w:sz w:val="24"/>
              </w:rPr>
              <w:t>3、仓储情况</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需配备有食材保鲜库及冷冻库(主要考察保鲜库及冷冻库整体实力)。注：同时提供①保鲜库及冷冻库现场照片、监控设备所在位置照片、监控画面；②保鲜库及冷冻库的使用权及面积证明(以下二选一即可)：a.场地自购的提供场地的产权证明(产权所有人可以是投标人或其法定代表人)；b.场地租赁的须同时提供租赁合同、以及产权所有人的产权证明(存在转租等情形的还须提供可追溯至产权所有人的其他佐证)。提供完整证明材料的得2分。未按上述要求提供或不满足的不得分。</w:t>
            </w:r>
            <w:commentRangeEnd w:id="5"/>
            <w:r>
              <w:rPr>
                <w:rStyle w:val="12"/>
              </w:rPr>
              <w:commentReference w:id="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4、一品一码</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投标人提供产品货源可追溯管理机制，要求实现全程可追溯。提供产品可追溯相关证明材料并作出承诺的得1分，未完整提供的不得分。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5、服务人员</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保障本项目实施的服务人员进行评价：为保障服务品质及正常履约的需要，投标人需对投入该项目服务人员合理分工作出计划(分拣、物流、交接、管理、数据处理等岗位)，根据投标人对本项目投入人员配置、分工情况进行评价：投入该项目服务人员≥18人的得3分；18人＞投入该项目服务人员≥15人的得2分；15人＞投入该项目服务人员≥10人的得1分；其余的不得分。【投标人需提供拟投入本项目人员清单(清单内需体现人员分工情况)、投标截止时间前6个月（不含投标截止时间当月）中任意一个月由投标人为其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6、项目负责人</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根据投标人拟配置本项目的负责人资质情况进行评价：</w:t>
            </w:r>
          </w:p>
          <w:p>
            <w:pPr>
              <w:rPr>
                <w:rFonts w:cs="楷体" w:asciiTheme="minorEastAsia" w:hAnsiTheme="minorEastAsia" w:eastAsiaTheme="minorEastAsia"/>
                <w:sz w:val="24"/>
              </w:rPr>
            </w:pPr>
            <w:r>
              <w:rPr>
                <w:rFonts w:hint="eastAsia" w:cs="楷体" w:asciiTheme="minorEastAsia" w:hAnsiTheme="minorEastAsia" w:eastAsiaTheme="minorEastAsia"/>
                <w:sz w:val="24"/>
              </w:rPr>
              <w:t>①年龄不超过50周岁(以身份证为准)，具有全日制大专及以上学历【需提供身份证有效复印件、学历证书有效复印件及学信网查询截图】；②持有职业培训中心颁发的食品安全管理员培训证书。符合以上2项要求的得2分，其他情况不得分。【以上①-②项还需提供人员健康证有效复印件、投标截止时间前6个月（不含投标截止时间当月）中任意一个月由投标人为其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7、食品安全员</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根据投标人拟派本项目的食品安全员资质情况进行评价：</w:t>
            </w:r>
          </w:p>
          <w:p>
            <w:pPr>
              <w:rPr>
                <w:rFonts w:cs="楷体" w:asciiTheme="minorEastAsia" w:hAnsiTheme="minorEastAsia" w:eastAsiaTheme="minorEastAsia"/>
                <w:sz w:val="24"/>
              </w:rPr>
            </w:pPr>
            <w:r>
              <w:rPr>
                <w:rFonts w:hint="eastAsia" w:cs="楷体" w:asciiTheme="minorEastAsia" w:hAnsiTheme="minorEastAsia" w:eastAsiaTheme="minorEastAsia"/>
                <w:sz w:val="24"/>
              </w:rPr>
              <w:t>①年龄不超过50周岁(以身份证为准）需提供身份证有效复印件】；②持有相关部门颁发的食品检验员证书。符合以上2项要求的得2分，其他情况不得分。【以上①-②项还需提供人员健康证有效复印件、投标截止时间前6个月（不含投标截止时间当月）中任意一个月由投标人为其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8、食品检验报告</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根据投标人提供的相关食材检验报告情况进行评分：自2023年1 月1日以来送检食材（蔬菜类）合格检验报告，送检单位需为投标人，需提供国家认可的检测机构出具的带有CMA或CNAS标志的检验报告复印件，每提供1份得0.5分，满分2分。原件备查。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9、食品检验设备</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建有自有的食品质量检测室，具备开展检测工作能力，具备相关检测仪器设备≥2台（如食品安全检测仪器、农残兽残检测仪器等），全部符合得2分。投标人须提供食品质量检测室及检测设备的相关照片、检测设备采购发票复印件以及检测设备计量检定或校准证书复印件，未完整提供证明材料的不得分，原件备查。中标后场地实地核查，发现虚假应标，取消中标人资格，并追究有关法律经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10、软件能力</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根据各投标人提供的线上自助下单，支持电脑、手机等移动终端平台自助下单，由磋商小组进行评议，满足的得1分。须提供平台地址、平台截图及操作说明，未提供的不得分。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11、退换货承诺</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投标人所配送食品质量等不符合采购人要求的，采购人有权要求退换货，投标人必须在采购人要求的时间内补齐，由此产生的一切费用由投标人承担，投标人需提供书面承诺，满足的得1分，否则不得分。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12、日常配送方案</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针对本项目提供的日常配送保障方案情况（包含配送流程图、配送保障措施、供应食材标准等）进行评价，对以上各部分内容均做出完整响应，内容符合本项目实际需求的得1分；在此基础上能够结合项目情况，提供日常配送保障方案完整，内容全面详尽，重点突出、能够保障项目顺利实施的得2分；未提供或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13、应急保障方案</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根据投标人针对本项目所提供的应急保障方案(包括但不限于临时任务、节假日、考评、检查、重要或大型活动、防洪防台风、疫情期间防控防疫等) 进行评价，提供有应急保障方案的得1分；在此基础上能够结合项目情况，提供详细具体的方案，处理程序、措施思路清晰，应急响应及时，保障项目顺利实施的得2分；未提供或不可行的不得分。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14、食材安全措施</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为保证食材安全采取的保障措施及服务承诺情况进行评价，提供有保障措施及服务承诺的得1分；在此基础上能够针对本项目情况提供具体可行的保障措施，服务人员安排，确保项目顺利实施的得2分；不可行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15、卫生事故应急</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提供的食品安全卫生事故应急方案进行评价，提供有食品安全卫生事故应急方案的得1分；在此基础上能够针对本项目情况提供具体可行的保障措施，处理程序、措施思路清晰，应急响应及时，确保项目顺利实施的得2分；不可行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16、客户方案</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根据投标人提供的客户沟通、客户投诉处理以及客户满意度调查方案进行评价：每提供一个详细方案的得 1 分，满分 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17、食材安全承诺</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投标人承诺保证日常配送供应的食材新鲜，没有污染、变质等现象，产品符合各类食品卫生标准，符合《中华人民共和国食品安全法》及相关质量法规的规定的得1分，须提供承诺函（格式自拟），否则不得分。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18、支持脱贫承诺</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合同履行期间，如遇政策要求（如：《关于运用政府采购政策支持脱贫攻坚的通知》），需要招标人优先采购或以预留采购份额方式采购贫困地区农副产品的，中标人不得有异议。投标人能对上述事项进行书面承诺的得1分，须提供书面承诺函（格式自拟），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19、人员健康</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食品经营人员必须每年进行健康检查，取得健康证明后方可参加工作，不得超期使用健康证明；食品配送人员需提供食品从业人员健康证（复印件），投标人需对此作出书面承诺，满足的得1分，否则不得分。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8"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20、食品检测</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投标人若中标需每年提供一次食品检测报告，投标人需对此作出书面承诺（格式自拟），满足的得1分，否则不得分。</w:t>
            </w:r>
          </w:p>
        </w:tc>
      </w:tr>
    </w:tbl>
    <w:p>
      <w:pPr>
        <w:rPr>
          <w:rFonts w:asciiTheme="minorEastAsia" w:hAnsiTheme="minorEastAsia" w:eastAsiaTheme="minorEastAsia"/>
          <w:b/>
          <w:sz w:val="28"/>
        </w:rPr>
      </w:pPr>
      <w:r>
        <w:rPr>
          <w:rFonts w:asciiTheme="minorEastAsia" w:hAnsiTheme="minorEastAsia" w:eastAsiaTheme="minorEastAsia"/>
          <w:b/>
          <w:sz w:val="28"/>
        </w:rPr>
        <w:t>商务</w:t>
      </w:r>
      <w:r>
        <w:rPr>
          <w:rFonts w:hint="eastAsia" w:asciiTheme="minorEastAsia" w:hAnsiTheme="minorEastAsia" w:eastAsiaTheme="minorEastAsia"/>
          <w:b/>
          <w:sz w:val="28"/>
        </w:rPr>
        <w:t>部分：15分</w:t>
      </w:r>
    </w:p>
    <w:tbl>
      <w:tblPr>
        <w:tblStyle w:val="10"/>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77"/>
        <w:gridCol w:w="993"/>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777"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项目</w:t>
            </w:r>
          </w:p>
        </w:tc>
        <w:tc>
          <w:tcPr>
            <w:tcW w:w="993"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分值</w:t>
            </w:r>
          </w:p>
        </w:tc>
        <w:tc>
          <w:tcPr>
            <w:tcW w:w="6452"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1、质量管理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质量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2、环境管理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供投标人通过ISO或GB/T环境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3、职业健康安全管理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职业健康安全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4、食品安全管理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食品安全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5、危害分析关键控制点（HACCP）</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危害分析关键控制点（HACCP）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6、生鲜农产品配送服务认证</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生鲜农产品配送服务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7、社会责任标准体系认证</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社会责任标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8、风险管理体系认证</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风险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9、类似业绩</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自2020年1月1日起至投标截止时间止（以合同签订时间为准）完成过类似食材配送项目的业绩情况进行评价：每提供1个完整有效业绩得1分，满分3分。【说明：有效业绩证明材料完整包括该业绩的中标（成交）公告[提供相关网站中标（成交）公告的下载网页及其网址]、中标（成交）通知书复印件、采购合同文本复印件。如未按要求提供该项业绩完整证明材料的，评审小组对该项业绩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10、食品安全责任险</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或投标产品具有食品安全保险保障提供保险单且保险金额≥5000万得3分；5000万＞保险金额≥2000万得2分；2000万＞保险金额得1分。投标人须提供有效保险单及发票复印件且在投标截止时间前1个月投保，未提供或提供不全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11、食品安全声明</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自 2020 年 1 月 1 日以来，投标人、投标人的分公司及子公司均未因食品安全问题或食品生产问题被行政处罚并被公告的得 1分，须提供声明函 (格式自拟)，未提供声明函的或存在被行政处罚的不得分。注：如若中标后发现虚假声明的，属于提供虚假材料谋取中标，取消中标资格并应承担相应责任。</w:t>
            </w:r>
          </w:p>
        </w:tc>
      </w:tr>
    </w:tbl>
    <w:p>
      <w:pPr>
        <w:spacing w:line="360" w:lineRule="auto"/>
        <w:rPr>
          <w:rFonts w:asciiTheme="minorEastAsia" w:hAnsiTheme="minorEastAsia" w:eastAsiaTheme="minorEastAsia"/>
          <w:sz w:val="24"/>
        </w:rPr>
      </w:pPr>
    </w:p>
    <w:p>
      <w:pPr>
        <w:rPr>
          <w:rFonts w:asciiTheme="minorEastAsia" w:hAnsiTheme="minorEastAsia" w:eastAsiaTheme="minorEastAsia"/>
          <w:b/>
          <w:sz w:val="32"/>
        </w:rPr>
      </w:pPr>
      <w:r>
        <w:rPr>
          <w:rFonts w:hint="eastAsia" w:asciiTheme="minorEastAsia" w:hAnsiTheme="minorEastAsia" w:eastAsiaTheme="minorEastAsia"/>
          <w:b/>
          <w:sz w:val="32"/>
        </w:rPr>
        <w:t>合同包4：冻品</w:t>
      </w:r>
    </w:p>
    <w:p>
      <w:pPr>
        <w:spacing w:line="360" w:lineRule="auto"/>
        <w:rPr>
          <w:rFonts w:asciiTheme="minorEastAsia" w:hAnsiTheme="minorEastAsia" w:eastAsiaTheme="minorEastAsia"/>
          <w:b/>
          <w:sz w:val="28"/>
        </w:rPr>
      </w:pPr>
      <w:r>
        <w:rPr>
          <w:rFonts w:hint="eastAsia" w:asciiTheme="minorEastAsia" w:hAnsiTheme="minorEastAsia" w:eastAsiaTheme="minorEastAsia"/>
          <w:b/>
          <w:sz w:val="28"/>
        </w:rPr>
        <w:t>技术和服务要求（以下内容为不允许负偏离的实质性要求）</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1、本合同包合同期限为一年。</w:t>
      </w:r>
      <w:r>
        <w:rPr>
          <w:rFonts w:hint="eastAsia" w:asciiTheme="minorEastAsia" w:hAnsiTheme="minorEastAsia" w:eastAsiaTheme="minorEastAsia"/>
          <w:sz w:val="24"/>
        </w:rPr>
        <w:t>采购人每学期进行大宗食品原料供应满意度调查测评一次，对食品原料质量、数量、价格和服务等方面进行全面评价，要求测评综合满意度合格率均达80％及以上。合同期内，满意度测评合格率低于80%的，采购人可立即终止采购合同。如果合同期内，测评综合满意度合格率均达85%及以上的，经采购人与中标人协商后，采购人有权决定是否续签下一年度合同。若未能续签下一年度合同的，合同到期后新一轮的中标投标人未确定，则由原中标人继续食堂大宗食品集中采购配送工作，直至新投标人确定为止，中标人不得以任何理由拒绝，否则履约保证金不予以退还。</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2、深加工产品为预包装食品，投标人在仙游县内具有专用封闭式配送的冷藏设备车辆，投标时需要提供证明材料。</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3、冻禽冻品必须符合《鲜、冻禽产品》国家标准（GB16869-2005），动物性水产品必须符合《食品安全国家标准鲜、冻动物性水产品》（GB 2733-2015），其他冻品应符合相应国家标准。产品应经检验检疫合格，能提供相应的检验、检疫证明；产品在贮存、运输过程中，必须符合产品温控等储存要求。</w:t>
      </w:r>
      <w:r>
        <w:rPr>
          <w:rFonts w:hint="eastAsia" w:asciiTheme="minorEastAsia" w:hAnsiTheme="minorEastAsia" w:eastAsiaTheme="minorEastAsia"/>
          <w:b/>
          <w:sz w:val="24"/>
        </w:rPr>
        <w:t xml:space="preserve">所有供货产品根据采购人需求（种类、品牌、数量等）进行采购，供货前须通过采购人确认，产品质量须经采购人验证合格后方可供货。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4、参照价格及结算价格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供货价格以“莆田市发展和改革委员会官网——主要商品行情”每日公布的价格为实时市场参照价格，价格每一个月确定一次，以当月的5、15、25日三天公布价格的平均价格作为参照价。若无预包装价格的，则以散装价格作为参照。</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（2）若采购产品未能在“莆田市发展和改革委员会官网——主要商品行情”查询到相应价格的，则以永辉超市（福建莆田市仙游鲤城广场店）、冠超市、凤凰百货三家的正常销售价的平均值作为参照价格。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若采购产品在“莆田市发展和改革委员会官网——主要商品行情”未有公布市场价格，在永辉超市（福建莆田仙游鲤城广场店）、冠超市、凤凰百货也未能采集到价格，则由双方共同市场询价确认后作为此类产品的参照价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（4）价格每一个月确定一次，以当月的5、15、25日三天通过以上相应渠道所采集价格的平均价格作为参照价格。价格清单由中标人采集后提供给采购人确认。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（5）结算价格=参照价格*（1-投标报价下浮率），价格四舍五入，保留小数点后2位数。</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5、本合同包报价下浮率须≥6.00%。</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6、报价低于规定下浮率的投标人为无效投标行为。</w:t>
      </w:r>
    </w:p>
    <w:p>
      <w:pPr>
        <w:spacing w:line="360" w:lineRule="auto"/>
        <w:rPr>
          <w:rFonts w:asciiTheme="minorEastAsia" w:hAnsiTheme="minorEastAsia" w:eastAsiaTheme="minorEastAsia"/>
          <w:sz w:val="24"/>
        </w:rPr>
      </w:pPr>
    </w:p>
    <w:p>
      <w:pPr>
        <w:rPr>
          <w:rFonts w:asciiTheme="minorEastAsia" w:hAnsiTheme="minorEastAsia" w:eastAsiaTheme="minorEastAsia"/>
          <w:b/>
          <w:sz w:val="32"/>
        </w:rPr>
      </w:pPr>
      <w:r>
        <w:rPr>
          <w:rFonts w:hint="eastAsia" w:asciiTheme="minorEastAsia" w:hAnsiTheme="minorEastAsia" w:eastAsiaTheme="minorEastAsia"/>
          <w:b/>
          <w:sz w:val="32"/>
        </w:rPr>
        <w:t>合同包4评分标准</w:t>
      </w:r>
    </w:p>
    <w:p>
      <w:pPr>
        <w:rPr>
          <w:rFonts w:asciiTheme="minorEastAsia" w:hAnsiTheme="minorEastAsia" w:eastAsiaTheme="minorEastAsia"/>
          <w:b/>
          <w:sz w:val="28"/>
        </w:rPr>
      </w:pPr>
      <w:r>
        <w:rPr>
          <w:rFonts w:hint="eastAsia" w:asciiTheme="minorEastAsia" w:hAnsiTheme="minorEastAsia" w:eastAsiaTheme="minorEastAsia"/>
          <w:b/>
          <w:sz w:val="28"/>
        </w:rPr>
        <w:t>价格部分：50分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价格项评审因素得分＝（评标基准价/投标报价）×100×价格项评审因素所占的权重（注：满足招标文件要求且投标价格最低的投标报价为评标基准价。）</w:t>
      </w:r>
    </w:p>
    <w:p>
      <w:pPr>
        <w:rPr>
          <w:rFonts w:asciiTheme="minorEastAsia" w:hAnsiTheme="minorEastAsia" w:eastAsiaTheme="minorEastAsia"/>
          <w:b/>
          <w:sz w:val="28"/>
        </w:rPr>
      </w:pPr>
      <w:r>
        <w:rPr>
          <w:rFonts w:hint="eastAsia" w:asciiTheme="minorEastAsia" w:hAnsiTheme="minorEastAsia" w:eastAsiaTheme="minorEastAsia"/>
          <w:b/>
          <w:sz w:val="28"/>
        </w:rPr>
        <w:t>技术部分：35分</w:t>
      </w:r>
    </w:p>
    <w:tbl>
      <w:tblPr>
        <w:tblStyle w:val="10"/>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34"/>
        <w:gridCol w:w="851"/>
        <w:gridCol w:w="6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1834"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项目</w:t>
            </w:r>
          </w:p>
        </w:tc>
        <w:tc>
          <w:tcPr>
            <w:tcW w:w="851"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分值</w:t>
            </w:r>
          </w:p>
        </w:tc>
        <w:tc>
          <w:tcPr>
            <w:tcW w:w="6538"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1、供货系统配置</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加工、包装、检验、储存、配送等整个供货系统的配置及管理情况进行综合评价：供货系统配置全面完善，描述详尽具体，管理合理，工作环节重点突出，能够切实保障项目实施的得3分；供货系统配置较为完善，描述较为具体，管理较为合理，工作环节较为突出，能够较大程度保障项目实施的得2分；供货系统配置基本完善，描述不够详尽具体，管理基本合理，工作环节突出一般，能够基本保障项目实施的得1分；方案不合理或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2、档案管理方案</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日常服务记录档案、特别情况记录、凭证、单据等档案管理方案进行评价：方案详尽全面，档案管理科学有序，能够保障日常服务及时记录、完整准确的得2分；方案较为详细全面，档案管理较为科学，能够基本保障日常服务记录及准确性的得1分；方案不合理或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3、食品退换货方案</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针对本项目提供的食品退换货方案进行评分：方案内容全面且符合项目实际情况，具体及时有效处理退换货的得2分；方案制定基本符合项目情况，基本可行的得1分；方案不合理或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4、采购管理</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为确实保障采购人原材料采购管理，根据投标人提供的本项目的原材料采购管理方案、投标人通过绿色供应链评价体系认证、投标人通过供应链安全管理体系评价认证进行评分；以上每提供一项得1分，满分3分。投标人须提供原材料采购管理方案、截止至招标公告发布之前通过的体系认证证书及全国认证认可信息公共服务平台(http://www.cnca.gov.cn/)查询截图并加盖投标人公章，未提供或提供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5、配送中心</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具有面积&gt;1000平方米的食材配送中心得1分；2000平方米&gt;面积≥1000平方米的食材配送中心得2分；3000平方米&gt;面积≥2000平方米的食材配送中心得3分。【若配送中心场地为自有的须提供产权证明复印件；若配送中心场地为租赁的须提供租赁合同复印件且租赁合同（租赁合同要涵盖本项目服务期）。中标后采购人将进行场地实地核查，若发现虚假应标，除不退还保证金外，将取消中标人资格，并追究有关法律经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rPr>
                <w:rFonts w:cs="楷体" w:asciiTheme="minorEastAsia" w:hAnsiTheme="minorEastAsia" w:eastAsiaTheme="minorEastAsia"/>
                <w:sz w:val="24"/>
              </w:rPr>
            </w:pPr>
            <w:commentRangeStart w:id="6"/>
            <w:r>
              <w:rPr>
                <w:rFonts w:hint="eastAsia" w:cs="楷体" w:asciiTheme="minorEastAsia" w:hAnsiTheme="minorEastAsia" w:eastAsiaTheme="minorEastAsia"/>
                <w:sz w:val="24"/>
              </w:rPr>
              <w:t>6、仓储能力</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拥有食品储存冷库或冷藏或保鲜库≥100立方米的得1分，每增加100立方米加1分，满分3分。投标人需提供不同角度的仓库照片（至少5张）及仓库的产权证明佐证，若为租赁场地还须提供租赁合同佐证，否则不得分。中标后采购人将进行场地实地核查，若发现虚假应标，除不退还保证金外，将取消中标人资格，并追究有关法律经济责任。</w:t>
            </w:r>
            <w:commentRangeEnd w:id="6"/>
            <w:r>
              <w:rPr>
                <w:rStyle w:val="12"/>
              </w:rPr>
              <w:commentReference w:i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7、食品检验报告</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根据投标人提供的相关食材检验报告情况进行评分：自2023年1 月1日以来送检食材（冻品类）合格检验报告，送检单位需为投标人，需提供国家认可的检测机构出具的带有CMA或CNAS标志的检验报告复印件，每提供1份得0.5分，满分3分。原件备查。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Merge w:val="restart"/>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8、配送能力</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须具有履行合同的基本能力，提供及时的配送服务，投标人至少提供一辆冷藏车，在此基础上每提供1辆冷藏车或其他配送车的得1分，满分2分。【说明：投标人应提供车辆近照、行驶证、登记证复印件等证明材料，若为租赁的，还应提供租赁协议复印件（租赁期必须不少于本项目的合同期），不提供或提供证明材料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Merge w:val="continue"/>
            <w:vAlign w:val="center"/>
          </w:tcPr>
          <w:p>
            <w:pPr>
              <w:ind w:left="210"/>
              <w:rPr>
                <w:rFonts w:cs="楷体" w:asciiTheme="minorEastAsia" w:hAnsiTheme="minorEastAsia" w:eastAsiaTheme="minorEastAsia"/>
                <w:sz w:val="24"/>
              </w:rPr>
            </w:pP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能为本项目提供的配送人员进行评价：提供3名及以上的得1分；提供5名及以上的得2分；提供8名以上的得3分。【须提供投标截止时间前六个月任意一个月（不含投标截止时间的当月）投标人为人员缴纳社保的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Merge w:val="restart"/>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9、管理人员</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538" w:type="dxa"/>
            <w:vAlign w:val="center"/>
          </w:tcPr>
          <w:p>
            <w:pPr>
              <w:wordWrap w:val="0"/>
              <w:rPr>
                <w:rFonts w:cs="楷体" w:asciiTheme="minorEastAsia" w:hAnsiTheme="minorEastAsia" w:eastAsiaTheme="minorEastAsia"/>
                <w:sz w:val="24"/>
              </w:rPr>
            </w:pPr>
            <w:r>
              <w:rPr>
                <w:rFonts w:hint="eastAsia" w:cs="楷体" w:asciiTheme="minorEastAsia" w:hAnsiTheme="minorEastAsia" w:eastAsiaTheme="minorEastAsia"/>
                <w:sz w:val="24"/>
              </w:rPr>
              <w:t>拟任项目经理具有食品安全管理员证书、大专及以上学历且是食品检测相关专业毕业的，提供资质证书在颁证机构上的网上查询截图，学历证书必须能在学信网（https://www.chsi.com.cn/）查询并附截图。还须提供项目经理有效身份证、健康证及投标截止时间前六个月任意一个月（不含投标截止时间的当月）投标人为其缴纳社保的证明材料。以上资质应同时具有，否则评标委将不予认可（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Merge w:val="continue"/>
            <w:vAlign w:val="center"/>
          </w:tcPr>
          <w:p>
            <w:pPr>
              <w:rPr>
                <w:rFonts w:cs="楷体" w:asciiTheme="minorEastAsia" w:hAnsiTheme="minorEastAsia" w:eastAsiaTheme="minorEastAsia"/>
                <w:sz w:val="24"/>
              </w:rPr>
            </w:pP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2</w:t>
            </w:r>
          </w:p>
        </w:tc>
        <w:tc>
          <w:tcPr>
            <w:tcW w:w="6538" w:type="dxa"/>
            <w:vAlign w:val="center"/>
          </w:tcPr>
          <w:p>
            <w:pPr>
              <w:wordWrap w:val="0"/>
              <w:rPr>
                <w:rFonts w:cs="楷体" w:asciiTheme="minorEastAsia" w:hAnsiTheme="minorEastAsia" w:eastAsiaTheme="minorEastAsia"/>
                <w:sz w:val="24"/>
              </w:rPr>
            </w:pPr>
            <w:r>
              <w:rPr>
                <w:rFonts w:hint="eastAsia" w:cs="楷体" w:asciiTheme="minorEastAsia" w:hAnsiTheme="minorEastAsia" w:eastAsiaTheme="minorEastAsia"/>
                <w:sz w:val="24"/>
              </w:rPr>
              <w:t>根据投标人拟派本项目的食品安全员资质情况进行评价：</w:t>
            </w:r>
          </w:p>
          <w:p>
            <w:pPr>
              <w:wordWrap w:val="0"/>
              <w:rPr>
                <w:rFonts w:cs="楷体" w:asciiTheme="minorEastAsia" w:hAnsiTheme="minorEastAsia" w:eastAsiaTheme="minorEastAsia"/>
                <w:sz w:val="24"/>
              </w:rPr>
            </w:pPr>
            <w:r>
              <w:rPr>
                <w:rFonts w:hint="eastAsia" w:cs="楷体" w:asciiTheme="minorEastAsia" w:hAnsiTheme="minorEastAsia" w:eastAsiaTheme="minorEastAsia"/>
                <w:sz w:val="24"/>
              </w:rPr>
              <w:t>①年龄不超过50周岁(以身份证为准），需提供身份证有效复印件；②持有相关部门颁发的食品检验员证书。</w:t>
            </w:r>
          </w:p>
          <w:p>
            <w:pPr>
              <w:wordWrap w:val="0"/>
              <w:rPr>
                <w:rFonts w:cs="楷体" w:asciiTheme="minorEastAsia" w:hAnsiTheme="minorEastAsia" w:eastAsiaTheme="minorEastAsia"/>
                <w:sz w:val="24"/>
              </w:rPr>
            </w:pPr>
            <w:r>
              <w:rPr>
                <w:rFonts w:hint="eastAsia" w:cs="楷体" w:asciiTheme="minorEastAsia" w:hAnsiTheme="minorEastAsia" w:eastAsiaTheme="minorEastAsia"/>
                <w:sz w:val="24"/>
              </w:rPr>
              <w:t>符合以上2项要求的得2分，其它情况不得分。【同时需提供人员健康证有效复印件、投标截止时间前六个月任意一个月（不含投标截止时间的当月）投标人为其缴纳社保的证明材料。】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rPr>
                <w:rFonts w:cs="楷体" w:asciiTheme="minorEastAsia" w:hAnsiTheme="minorEastAsia" w:eastAsiaTheme="minorEastAsia"/>
                <w:sz w:val="24"/>
                <w:highlight w:val="green"/>
              </w:rPr>
            </w:pPr>
            <w:commentRangeStart w:id="7"/>
            <w:r>
              <w:rPr>
                <w:rFonts w:hint="eastAsia" w:cs="楷体" w:asciiTheme="minorEastAsia" w:hAnsiTheme="minorEastAsia" w:eastAsiaTheme="minorEastAsia"/>
                <w:sz w:val="24"/>
              </w:rPr>
              <w:t>10、食品检测设施</w:t>
            </w:r>
          </w:p>
        </w:tc>
        <w:tc>
          <w:tcPr>
            <w:tcW w:w="851" w:type="dxa"/>
            <w:vAlign w:val="center"/>
          </w:tcPr>
          <w:p>
            <w:pPr>
              <w:jc w:val="center"/>
              <w:rPr>
                <w:rFonts w:cs="楷体" w:asciiTheme="minorEastAsia" w:hAnsiTheme="minorEastAsia" w:eastAsiaTheme="minorEastAsia"/>
                <w:sz w:val="24"/>
                <w:highlight w:val="green"/>
              </w:rPr>
            </w:pPr>
            <w:r>
              <w:rPr>
                <w:rFonts w:hint="eastAsia" w:cs="楷体" w:asciiTheme="minorEastAsia" w:hAnsiTheme="minorEastAsia" w:eastAsiaTheme="minorEastAsia"/>
                <w:sz w:val="24"/>
              </w:rPr>
              <w:t>2</w:t>
            </w:r>
          </w:p>
        </w:tc>
        <w:tc>
          <w:tcPr>
            <w:tcW w:w="6538" w:type="dxa"/>
            <w:vAlign w:val="center"/>
          </w:tcPr>
          <w:p>
            <w:pPr>
              <w:rPr>
                <w:rFonts w:cs="楷体" w:asciiTheme="minorEastAsia" w:hAnsiTheme="minorEastAsia" w:eastAsiaTheme="minorEastAsia"/>
                <w:sz w:val="24"/>
                <w:highlight w:val="green"/>
              </w:rPr>
            </w:pPr>
            <w:r>
              <w:rPr>
                <w:rFonts w:hint="eastAsia" w:cs="楷体" w:asciiTheme="minorEastAsia" w:hAnsiTheme="minorEastAsia" w:eastAsiaTheme="minorEastAsia"/>
                <w:sz w:val="24"/>
              </w:rPr>
              <w:t>投标人建有自有的食品质量检测室，具备开展检测工作能力，提供相关检测仪器设备（如食品安全检测仪器、农残兽残检测仪器、瘦肉精检测仪器等），具备以上不同类型检测仪器≥2台的得2分，其他不得分。【需提供食品质量检测室及检测设备的相关照片、检测设备采购发票复印件以及检测设备计量检定或校准证书复印件，原件备查。中标后采购人将进行场地实地核查，发现虚假应标，取消中标人资格，并追究有关法律经济责任。】</w:t>
            </w:r>
            <w:commentRangeEnd w:id="7"/>
            <w:r>
              <w:rPr>
                <w:rStyle w:val="12"/>
              </w:rPr>
              <w:comment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11、软件能力</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根据各投标人提供的线上自助下单，支持电脑、手机等移动终端平台自助下单，由磋商小组进行评议，满足的得1分。须提供平台地址、平台截图及操作说明，未提供的不得分。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12、食材安全承诺</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投标人承诺保证日常配送供应的食材新鲜，没有污染、变质等现象，产品符合各类食品卫生标准，符合《中华人民共和国食品安全法》及相关质量法规的规定的得1分，须提供承诺函（格式自拟），否则不得分。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13、支持脱贫承诺</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合同履行期间，如遇政策要求（如：《关于运用政府采购政策支持脱贫攻坚的通知》），需要招标人优先采购或以预留采购份额方式采购贫困地区农副产品的，中标人不得有异议。投标人能对上述事项进行书面承诺的得1分，须提供书面承诺函（格式自拟），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14、人员健康</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食品经营人员必须每年进行健康检查，取得健康证明后方可参加工作，不得超期使用健康证明；食品配送人员需提供食品从业人员健康证（复印件），投标人需对此作出书面承诺，满足的得1分，否则不得分。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834"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15、一品一码</w:t>
            </w:r>
          </w:p>
        </w:tc>
        <w:tc>
          <w:tcPr>
            <w:tcW w:w="851"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538"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投标人提供产品货源可追溯管理机制，要求实现全程可追溯。提供产品可追溯相关证明材料并作出承诺的得1分，未完整提供的不得分。</w:t>
            </w:r>
          </w:p>
        </w:tc>
      </w:tr>
    </w:tbl>
    <w:p>
      <w:pPr>
        <w:rPr>
          <w:rFonts w:asciiTheme="minorEastAsia" w:hAnsiTheme="minorEastAsia" w:eastAsiaTheme="minorEastAsia"/>
          <w:b/>
          <w:sz w:val="28"/>
        </w:rPr>
      </w:pPr>
      <w:r>
        <w:rPr>
          <w:rFonts w:asciiTheme="minorEastAsia" w:hAnsiTheme="minorEastAsia" w:eastAsiaTheme="minorEastAsia"/>
          <w:b/>
          <w:sz w:val="28"/>
        </w:rPr>
        <w:t>商务部分：</w:t>
      </w:r>
      <w:r>
        <w:rPr>
          <w:rFonts w:hint="eastAsia" w:asciiTheme="minorEastAsia" w:hAnsiTheme="minorEastAsia" w:eastAsiaTheme="minorEastAsia"/>
          <w:b/>
          <w:sz w:val="28"/>
        </w:rPr>
        <w:t>15分</w:t>
      </w:r>
    </w:p>
    <w:tbl>
      <w:tblPr>
        <w:tblStyle w:val="10"/>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77"/>
        <w:gridCol w:w="993"/>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777"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项目</w:t>
            </w:r>
          </w:p>
        </w:tc>
        <w:tc>
          <w:tcPr>
            <w:tcW w:w="993"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分值</w:t>
            </w:r>
          </w:p>
        </w:tc>
        <w:tc>
          <w:tcPr>
            <w:tcW w:w="6452"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1、质量管理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质量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2、环境管理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供投标人通过ISO或GB/T环境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3、职业健康安全管理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职业健康安全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4、食品安全管理</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食品安全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5、危害分析关键控制点（HACCP）</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危害分析关键控制点（HACCP）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6、生鲜农产品配送服务认证</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ISO或GB/T生鲜农产品配送服务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7、社会责任标准体系认证</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社会责任标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8、风险管理体系认证</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通过风险管理体系认证，需提供在全国认证认可信息公共服务平台（网址：http://cx.cnca.cn）网页证书完整有效查询截图（查询截图至少需包含证书编号、证书状态、发证机构、网址信息）或有效认证证书复印件，满足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9、类似业绩</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根据投标人自2020年1月1日起至投标截止时间止（以合同签订时间为准）完成过类似食材配送项目的业绩情况进行评价：每提供1个完整有效业绩得1分，满分3分。【说明：有效业绩证明材料完整包括该业绩的中标（成交）公告[提供相关网站中标（成交）公告的下载网页及其网址]、中标（成交）通知书复印件、采购合同文本复印件。如未按要求提供该项业绩完整证明材料的，评审小组对该项业绩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10、食品安全责任险</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3</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投标人或投标产品具有食品安全保险保障提供保险单且保险金额≥5000万得3分；5000万＞保险金额≥2000万得2分；2000万＞保险金额得1分。投标人须提供有效保险单及发票复印件且在投标截止时间前1个月投保，未提供或提供不全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77"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11、食品安全声明</w:t>
            </w:r>
          </w:p>
        </w:tc>
        <w:tc>
          <w:tcPr>
            <w:tcW w:w="993" w:type="dxa"/>
            <w:vAlign w:val="center"/>
          </w:tcPr>
          <w:p>
            <w:pPr>
              <w:jc w:val="center"/>
              <w:rPr>
                <w:rFonts w:cs="楷体" w:asciiTheme="minorEastAsia" w:hAnsiTheme="minorEastAsia" w:eastAsiaTheme="minorEastAsia"/>
                <w:sz w:val="24"/>
              </w:rPr>
            </w:pPr>
            <w:r>
              <w:rPr>
                <w:rFonts w:hint="eastAsia" w:cs="楷体" w:asciiTheme="minorEastAsia" w:hAnsiTheme="minorEastAsia" w:eastAsiaTheme="minorEastAsia"/>
                <w:sz w:val="24"/>
              </w:rPr>
              <w:t>1</w:t>
            </w:r>
          </w:p>
        </w:tc>
        <w:tc>
          <w:tcPr>
            <w:tcW w:w="6452" w:type="dxa"/>
            <w:vAlign w:val="center"/>
          </w:tcPr>
          <w:p>
            <w:pPr>
              <w:rPr>
                <w:rFonts w:cs="楷体" w:asciiTheme="minorEastAsia" w:hAnsiTheme="minorEastAsia" w:eastAsiaTheme="minorEastAsia"/>
                <w:sz w:val="24"/>
              </w:rPr>
            </w:pPr>
            <w:r>
              <w:rPr>
                <w:rFonts w:hint="eastAsia" w:cs="楷体" w:asciiTheme="minorEastAsia" w:hAnsiTheme="minorEastAsia" w:eastAsiaTheme="minorEastAsia"/>
                <w:sz w:val="24"/>
              </w:rPr>
              <w:t>自 2020 年 1 月 1 日以来，投标人、投标人的分公司及子公司均未因食品安全问题或食品生产问题被行政处罚并被公告的得 1分，须提供声明函 (格式自拟)，未提供声明函的或存在被行政处罚的不得分。注：如若中标后发现虚假声明的，属于提供虚假材料谋取中标，取消中标资格并应承担相应责任。</w:t>
            </w:r>
          </w:p>
        </w:tc>
      </w:tr>
    </w:tbl>
    <w:p/>
    <w:p>
      <w:pPr>
        <w:pStyle w:val="2"/>
        <w:spacing w:before="0" w:after="0" w:line="360" w:lineRule="auto"/>
        <w:rPr>
          <w:sz w:val="32"/>
        </w:rPr>
      </w:pPr>
      <w:r>
        <w:rPr>
          <w:sz w:val="32"/>
        </w:rPr>
        <w:t>三、商务条件</w:t>
      </w:r>
      <w:r>
        <w:rPr>
          <w:rFonts w:hint="eastAsia"/>
          <w:sz w:val="32"/>
        </w:rPr>
        <w:t>（以下内容</w:t>
      </w:r>
      <w:r>
        <w:rPr>
          <w:sz w:val="32"/>
        </w:rPr>
        <w:t>为不允许负偏离的实质性要求</w:t>
      </w:r>
      <w:r>
        <w:rPr>
          <w:rFonts w:hint="eastAsia"/>
          <w:sz w:val="32"/>
        </w:rPr>
        <w:t>）</w:t>
      </w:r>
    </w:p>
    <w:p>
      <w:pPr>
        <w:widowControl/>
        <w:spacing w:line="360" w:lineRule="auto"/>
        <w:jc w:val="left"/>
        <w:rPr>
          <w:rFonts w:hint="eastAsia" w:cs="宋体" w:asciiTheme="minorEastAsia" w:hAnsiTheme="minorEastAsia" w:eastAsiaTheme="minorEastAsia"/>
          <w:b/>
          <w:kern w:val="0"/>
          <w:sz w:val="24"/>
          <w:lang w:eastAsia="zh-CN"/>
        </w:rPr>
      </w:pPr>
      <w:r>
        <w:rPr>
          <w:rFonts w:cs="宋体" w:asciiTheme="minorEastAsia" w:hAnsiTheme="minorEastAsia" w:eastAsiaTheme="minorEastAsia"/>
          <w:b/>
          <w:kern w:val="0"/>
          <w:sz w:val="24"/>
        </w:rPr>
        <w:t>包：1</w:t>
      </w:r>
    </w:p>
    <w:p>
      <w:pPr>
        <w:widowControl/>
        <w:spacing w:line="360" w:lineRule="auto"/>
        <w:jc w:val="left"/>
        <w:rPr>
          <w:rFonts w:hint="eastAsia" w:cs="宋体" w:asciiTheme="minorEastAsia" w:hAnsiTheme="minorEastAsia" w:eastAsiaTheme="minorEastAsia"/>
          <w:b/>
          <w:kern w:val="0"/>
          <w:sz w:val="24"/>
          <w:lang w:eastAsia="zh-CN"/>
        </w:rPr>
      </w:pPr>
      <w:r>
        <w:rPr>
          <w:rFonts w:cs="宋体" w:asciiTheme="minorEastAsia" w:hAnsiTheme="minorEastAsia" w:eastAsiaTheme="minorEastAsia"/>
          <w:b/>
          <w:kern w:val="0"/>
          <w:sz w:val="24"/>
        </w:rPr>
        <w:t>1、交付地点：</w:t>
      </w:r>
      <w:r>
        <w:rPr>
          <w:rFonts w:hint="eastAsia" w:cs="宋体" w:asciiTheme="minorEastAsia" w:hAnsiTheme="minorEastAsia" w:eastAsiaTheme="minorEastAsia"/>
          <w:b/>
          <w:kern w:val="0"/>
          <w:sz w:val="24"/>
        </w:rPr>
        <w:t>采购人指定地点</w:t>
      </w:r>
    </w:p>
    <w:p>
      <w:pPr>
        <w:widowControl/>
        <w:spacing w:line="360" w:lineRule="auto"/>
        <w:jc w:val="left"/>
        <w:rPr>
          <w:rFonts w:cs="宋体" w:asciiTheme="minorEastAsia" w:hAnsiTheme="minorEastAsia" w:eastAsiaTheme="minorEastAsia"/>
          <w:b/>
          <w:kern w:val="0"/>
          <w:sz w:val="24"/>
        </w:rPr>
      </w:pPr>
      <w:r>
        <w:rPr>
          <w:rFonts w:cs="宋体" w:asciiTheme="minorEastAsia" w:hAnsiTheme="minorEastAsia" w:eastAsiaTheme="minorEastAsia"/>
          <w:b/>
          <w:kern w:val="0"/>
          <w:sz w:val="24"/>
        </w:rPr>
        <w:t>2、交付时间：</w:t>
      </w:r>
      <w:r>
        <w:rPr>
          <w:rFonts w:hint="eastAsia" w:cs="宋体" w:asciiTheme="minorEastAsia" w:hAnsiTheme="minorEastAsia" w:eastAsiaTheme="minorEastAsia"/>
          <w:b/>
          <w:kern w:val="0"/>
          <w:sz w:val="24"/>
        </w:rPr>
        <w:t>合同签订之日起1年</w:t>
      </w:r>
    </w:p>
    <w:p>
      <w:pPr>
        <w:widowControl/>
        <w:spacing w:line="360" w:lineRule="auto"/>
        <w:jc w:val="left"/>
        <w:rPr>
          <w:rFonts w:hint="eastAsia" w:cs="宋体" w:asciiTheme="minorEastAsia" w:hAnsiTheme="minorEastAsia" w:eastAsiaTheme="minorEastAsia"/>
          <w:b/>
          <w:kern w:val="0"/>
          <w:sz w:val="24"/>
          <w:lang w:eastAsia="zh-CN"/>
        </w:rPr>
      </w:pPr>
      <w:r>
        <w:rPr>
          <w:rFonts w:cs="宋体" w:asciiTheme="minorEastAsia" w:hAnsiTheme="minorEastAsia" w:eastAsiaTheme="minorEastAsia"/>
          <w:b/>
          <w:kern w:val="0"/>
          <w:sz w:val="24"/>
        </w:rPr>
        <w:t>3、交付条件：</w:t>
      </w:r>
      <w:r>
        <w:rPr>
          <w:rFonts w:hint="eastAsia" w:cs="宋体" w:asciiTheme="minorEastAsia" w:hAnsiTheme="minorEastAsia" w:eastAsiaTheme="minorEastAsia"/>
          <w:b/>
          <w:kern w:val="0"/>
          <w:sz w:val="24"/>
        </w:rPr>
        <w:t>验收合格后交付</w:t>
      </w:r>
    </w:p>
    <w:p>
      <w:pPr>
        <w:widowControl/>
        <w:spacing w:line="360" w:lineRule="auto"/>
        <w:jc w:val="left"/>
        <w:rPr>
          <w:rFonts w:hint="eastAsia" w:cs="宋体" w:asciiTheme="minorEastAsia" w:hAnsiTheme="minorEastAsia" w:eastAsiaTheme="minorEastAsia"/>
          <w:b/>
          <w:kern w:val="0"/>
          <w:sz w:val="24"/>
          <w:lang w:eastAsia="zh-CN"/>
        </w:rPr>
      </w:pPr>
      <w:r>
        <w:rPr>
          <w:rFonts w:cs="宋体" w:asciiTheme="minorEastAsia" w:hAnsiTheme="minorEastAsia" w:eastAsiaTheme="minorEastAsia"/>
          <w:b/>
          <w:kern w:val="0"/>
          <w:sz w:val="24"/>
        </w:rPr>
        <w:t>4、</w:t>
      </w:r>
      <w:r>
        <w:rPr>
          <w:rFonts w:hint="eastAsia" w:cs="宋体" w:asciiTheme="minorEastAsia" w:hAnsiTheme="minorEastAsia" w:eastAsiaTheme="minorEastAsia"/>
          <w:b/>
          <w:kern w:val="0"/>
          <w:sz w:val="24"/>
        </w:rPr>
        <w:t xml:space="preserve">是否收取履约保证金：是。中标投标人在签订合同前向采购人缴纳履约保证金。合同包1履约保证金为人民币15000元整；合同包2履约保证金为人民币20000元整；合同包3履约保证金为人民币5000元整；合同包4履约保证金为人民币15000元整。履约保证金在合同完成后 30 天内无纠纷情况下不计利息原额退还。履约保证金提交方式：本票、支票、汇票、转账或保函（提供保函的期限不少于服务期）。 </w:t>
      </w:r>
    </w:p>
    <w:p>
      <w:pPr>
        <w:widowControl/>
        <w:spacing w:line="360" w:lineRule="auto"/>
        <w:jc w:val="left"/>
        <w:rPr>
          <w:rFonts w:hint="eastAsia" w:cs="宋体" w:asciiTheme="minorEastAsia" w:hAnsiTheme="minorEastAsia" w:eastAsiaTheme="minorEastAsia"/>
          <w:b/>
          <w:kern w:val="0"/>
          <w:sz w:val="24"/>
          <w:lang w:eastAsia="zh-CN"/>
        </w:rPr>
      </w:pPr>
      <w:r>
        <w:rPr>
          <w:rFonts w:cs="宋体" w:asciiTheme="minorEastAsia" w:hAnsiTheme="minorEastAsia" w:eastAsiaTheme="minorEastAsia"/>
          <w:b/>
          <w:kern w:val="0"/>
          <w:sz w:val="24"/>
        </w:rPr>
        <w:t>5、是否邀请投标人参与验收：否</w:t>
      </w:r>
    </w:p>
    <w:p>
      <w:pPr>
        <w:widowControl/>
        <w:spacing w:line="360" w:lineRule="auto"/>
        <w:jc w:val="left"/>
        <w:rPr>
          <w:rFonts w:cs="宋体" w:asciiTheme="minorEastAsia" w:hAnsiTheme="minorEastAsia" w:eastAsiaTheme="minorEastAsia"/>
          <w:b/>
          <w:kern w:val="0"/>
          <w:sz w:val="24"/>
        </w:rPr>
      </w:pPr>
      <w:r>
        <w:rPr>
          <w:rFonts w:cs="宋体" w:asciiTheme="minorEastAsia" w:hAnsiTheme="minorEastAsia" w:eastAsiaTheme="minorEastAsia"/>
          <w:b/>
          <w:kern w:val="0"/>
          <w:sz w:val="24"/>
        </w:rPr>
        <w:t>6、验收方式数据表格</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285"/>
        <w:gridCol w:w="780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70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验收期次</w:t>
            </w:r>
          </w:p>
        </w:tc>
        <w:tc>
          <w:tcPr>
            <w:tcW w:w="4293"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70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1</w:t>
            </w:r>
          </w:p>
        </w:tc>
        <w:tc>
          <w:tcPr>
            <w:tcW w:w="4293"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rPr>
              <w:t>按招标文件和合同要求进行验收。</w:t>
            </w:r>
          </w:p>
        </w:tc>
      </w:tr>
    </w:tbl>
    <w:p>
      <w:pPr>
        <w:widowControl/>
        <w:jc w:val="left"/>
        <w:rPr>
          <w:rFonts w:cs="宋体" w:asciiTheme="minorEastAsia" w:hAnsiTheme="minorEastAsia" w:eastAsiaTheme="minorEastAsia"/>
          <w:b/>
          <w:kern w:val="0"/>
          <w:sz w:val="24"/>
        </w:rPr>
      </w:pPr>
      <w:r>
        <w:rPr>
          <w:rFonts w:cs="宋体" w:asciiTheme="minorEastAsia" w:hAnsiTheme="minorEastAsia" w:eastAsiaTheme="minorEastAsia"/>
          <w:b/>
          <w:kern w:val="0"/>
          <w:sz w:val="24"/>
        </w:rPr>
        <w:t>7、支付方式数据表格</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285"/>
        <w:gridCol w:w="1557"/>
        <w:gridCol w:w="6244"/>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70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支付期次</w:t>
            </w:r>
          </w:p>
        </w:tc>
        <w:tc>
          <w:tcPr>
            <w:tcW w:w="8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支付比例(%)</w:t>
            </w:r>
          </w:p>
        </w:tc>
        <w:tc>
          <w:tcPr>
            <w:tcW w:w="343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70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1</w:t>
            </w:r>
          </w:p>
        </w:tc>
        <w:tc>
          <w:tcPr>
            <w:tcW w:w="8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ascii="宋体" w:hAnsi="宋体" w:cs="宋体"/>
                <w:kern w:val="0"/>
                <w:sz w:val="24"/>
              </w:rPr>
            </w:pPr>
            <w:r>
              <w:rPr>
                <w:rFonts w:hint="eastAsia" w:ascii="宋体" w:hAnsi="宋体" w:cs="宋体"/>
                <w:kern w:val="0"/>
                <w:sz w:val="24"/>
              </w:rPr>
              <w:t>100</w:t>
            </w:r>
          </w:p>
        </w:tc>
        <w:tc>
          <w:tcPr>
            <w:tcW w:w="3436" w:type="pct"/>
            <w:tcBorders>
              <w:top w:val="single" w:color="666666" w:sz="6" w:space="0"/>
              <w:left w:val="single" w:color="666666" w:sz="6" w:space="0"/>
              <w:bottom w:val="single" w:color="666666" w:sz="6" w:space="0"/>
              <w:right w:val="single" w:color="666666" w:sz="6" w:space="0"/>
            </w:tcBorders>
            <w:shd w:val="clear" w:color="auto" w:fill="FFFFFF"/>
          </w:tcPr>
          <w:p>
            <w:pPr>
              <w:rPr>
                <w:rFonts w:ascii="宋体" w:hAnsi="宋体" w:cs="宋体"/>
                <w:b/>
                <w:kern w:val="0"/>
                <w:sz w:val="24"/>
              </w:rPr>
            </w:pPr>
            <w:r>
              <w:rPr>
                <w:rFonts w:hint="eastAsia" w:ascii="宋体" w:hAnsi="宋体" w:cs="宋体"/>
                <w:b/>
                <w:kern w:val="0"/>
                <w:sz w:val="24"/>
              </w:rPr>
              <w:t>验收合格后，由学校每个月一次性付清。（货款结算时中标供货商需提供正式发票，发票金额按中标供货商所实际投标人品零售价的100%开具。）</w:t>
            </w:r>
          </w:p>
        </w:tc>
      </w:tr>
    </w:tbl>
    <w:p>
      <w:pPr>
        <w:widowControl/>
        <w:spacing w:line="360" w:lineRule="auto"/>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8、与本批招标货物相关的其他要求</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8.1本批招标应按合同包投标，投标人可以对一个或全部合同包进行投标，但不得将合同包中的部分内容进行拆分投标或漏项投标，拆分投标或漏项投标无效。</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8.2.投标价格应包括货物送达采购人指定地点、经采购人验收合格并交付使用及售后服务等所有可能发生的费用，包括货物制造、运输、采购保管、装卸、产品检验检测、税收、售后服务等所有费用。</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8.3投标人提供的货物应符合国家食品卫生法规定标准及规范要求（品名、产地、厂名、生产日期、批号或者代号、规格、配方或主要成分、保质期限和食用方法）。</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8.4莆田以外的企业如在莆田市各有关县区无售后服务基地，必须承诺中标后在莆田市各有关县区设立售后服务基地，售后服务基地面积必须达到120平方米以上。</w:t>
      </w:r>
    </w:p>
    <w:p>
      <w:pPr>
        <w:spacing w:line="360" w:lineRule="auto"/>
        <w:rPr>
          <w:rFonts w:cs="楷体" w:asciiTheme="minorEastAsia" w:hAnsiTheme="minorEastAsia" w:eastAsiaTheme="minorEastAsia"/>
          <w:b/>
          <w:bCs/>
          <w:sz w:val="24"/>
        </w:rPr>
      </w:pPr>
      <w:r>
        <w:rPr>
          <w:rFonts w:hint="eastAsia" w:cs="楷体" w:asciiTheme="minorEastAsia" w:hAnsiTheme="minorEastAsia" w:eastAsiaTheme="minorEastAsia"/>
          <w:b/>
          <w:bCs/>
          <w:sz w:val="24"/>
        </w:rPr>
        <w:t>9、数量及验货方面的要求</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9.1中标人保证配送品种质量的准确性（斤两计），由采购人指定人员对中标人销售产品的品种、数量、质量进行验收，中标人每天要提供相关检测报告。</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9.2中标人每次随供货送上一式三份的针式打印机机打的《送货单》（</w:t>
      </w:r>
      <w:r>
        <w:rPr>
          <w:rFonts w:hint="eastAsia" w:cs="楷体" w:asciiTheme="minorEastAsia" w:hAnsiTheme="minorEastAsia" w:eastAsiaTheme="minorEastAsia"/>
          <w:b/>
          <w:sz w:val="24"/>
        </w:rPr>
        <w:t>附件4</w:t>
      </w:r>
      <w:r>
        <w:rPr>
          <w:rFonts w:hint="eastAsia" w:cs="楷体" w:asciiTheme="minorEastAsia" w:hAnsiTheme="minorEastAsia" w:eastAsiaTheme="minorEastAsia"/>
          <w:sz w:val="24"/>
        </w:rPr>
        <w:t>），供双方验货后签字确认，中标人持一份，采购人持2份（1份用食堂登记，1份用于建立台帐），作为送、收货的凭证。</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9.3验收时间由中标人与采购人自行商定。</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9.4中标人应提供质量合格货物，如发现不符合招标文件要求的产品，采购人有权拒绝接收。</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9.5验收以中标人投标文件、招标文件以及国家或行业标准要求、合同中的相关条款为依据。</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b/>
          <w:bCs/>
          <w:sz w:val="24"/>
        </w:rPr>
        <w:t>10、服务承诺要求</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10.1依据产品质量监督检验所提供的质量标准，中标人提供的产品必须是经过食品质量监督管理部门检验并取得合格证明的产品，每送一批次的食品都要提供与货物相关的产品质量检测合格报告或检疫报告或有关证明复印件。</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10.2质量原因造成中毒事故，经有关权威部门鉴定确认的，中标人应承担全部经济和法律责任。</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10.3送货车辆需定期进行消毒，避免在运输过程中导致交叉感染，使所需物资安全性出现问题。</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10.4中标人应对此次采购的货物按国家有关标准进行配送，不得短斤少两、以次充好。中标人对所供产品提供“三包”，对质量不合格产品实行包换、包退。</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10.5中标人要确保每天需服务的学校的食堂食品原料能按约定时间准时送达。</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10.6中标人须服从校方考核、整改、处罚承诺。</w:t>
      </w:r>
    </w:p>
    <w:p>
      <w:pPr>
        <w:spacing w:line="360" w:lineRule="auto"/>
        <w:rPr>
          <w:rFonts w:cs="楷体" w:asciiTheme="minorEastAsia" w:hAnsiTheme="minorEastAsia" w:eastAsiaTheme="minorEastAsia"/>
          <w:b/>
          <w:bCs/>
          <w:sz w:val="24"/>
        </w:rPr>
      </w:pPr>
      <w:r>
        <w:rPr>
          <w:rFonts w:hint="eastAsia" w:cs="楷体" w:asciiTheme="minorEastAsia" w:hAnsiTheme="minorEastAsia" w:eastAsiaTheme="minorEastAsia"/>
          <w:b/>
          <w:bCs/>
          <w:sz w:val="24"/>
        </w:rPr>
        <w:t>11、其他工作要求</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11.1县教育局每学期至少组织两次对供货商进行服务质量综合评议（“评议细则”见</w:t>
      </w:r>
      <w:r>
        <w:rPr>
          <w:rFonts w:hint="eastAsia" w:cs="楷体" w:asciiTheme="minorEastAsia" w:hAnsiTheme="minorEastAsia" w:eastAsiaTheme="minorEastAsia"/>
          <w:b/>
          <w:sz w:val="24"/>
        </w:rPr>
        <w:t>附件1</w:t>
      </w:r>
      <w:r>
        <w:rPr>
          <w:rFonts w:hint="eastAsia" w:cs="楷体" w:asciiTheme="minorEastAsia" w:hAnsiTheme="minorEastAsia" w:eastAsiaTheme="minorEastAsia"/>
          <w:sz w:val="24"/>
        </w:rPr>
        <w:t>），评议结果将作为取消投标人资格并终止购销合同的重要依据。连续2学年获得优秀等级的供货商可以获得下一轮招标“商务评分”中予以加1分，且同等条件下优先排序；若出现一次得分低于及格线（60分）的供货商则取消其供货资格并终止购销合同。</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11.2中标人在履约期间，若出现违法、因供应食品质量问题引发的食品安全事故、被相关监督部门处罚、或县区教育行政部门组织的服务质量综合评议不合格的、或开具假发票、以次充好、对存在的问题拒不整改等情况的，则取消供货商资格并终止购销合同，触犯法律的，要移送有关部门依法追究其法律责任。</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11.3中标人须配合与采购人签订《仙游县小学幼儿园食堂大宗食品质量安全责任书》（</w:t>
      </w:r>
      <w:r>
        <w:rPr>
          <w:rFonts w:hint="eastAsia" w:cs="楷体" w:asciiTheme="minorEastAsia" w:hAnsiTheme="minorEastAsia" w:eastAsiaTheme="minorEastAsia"/>
          <w:b/>
          <w:sz w:val="24"/>
        </w:rPr>
        <w:t>附件2</w:t>
      </w:r>
      <w:r>
        <w:rPr>
          <w:rFonts w:hint="eastAsia" w:cs="楷体" w:asciiTheme="minorEastAsia" w:hAnsiTheme="minorEastAsia" w:eastAsiaTheme="minorEastAsia"/>
          <w:sz w:val="24"/>
        </w:rPr>
        <w:t>）和《购销合同书》（参考招标文件第六章合同范本中“学校与中标方签订的合同书”），落实好双方应尽的权利、义务和责任。</w:t>
      </w:r>
    </w:p>
    <w:p>
      <w:pPr>
        <w:spacing w:line="360" w:lineRule="auto"/>
        <w:rPr>
          <w:rFonts w:cs="楷体" w:asciiTheme="minorEastAsia" w:hAnsiTheme="minorEastAsia" w:eastAsiaTheme="minorEastAsia"/>
          <w:sz w:val="24"/>
        </w:rPr>
      </w:pPr>
      <w:r>
        <w:rPr>
          <w:rFonts w:hint="eastAsia" w:cs="楷体" w:asciiTheme="minorEastAsia" w:hAnsiTheme="minorEastAsia" w:eastAsiaTheme="minorEastAsia"/>
          <w:sz w:val="24"/>
        </w:rPr>
        <w:t>11.4中标人须配合与采购人签订《仙游县中小学幼儿园食堂大宗食品集中采购工作廉政责任书》（</w:t>
      </w:r>
      <w:r>
        <w:rPr>
          <w:rFonts w:hint="eastAsia" w:cs="楷体" w:asciiTheme="minorEastAsia" w:hAnsiTheme="minorEastAsia" w:eastAsiaTheme="minorEastAsia"/>
          <w:b/>
          <w:sz w:val="24"/>
        </w:rPr>
        <w:t>附件3</w:t>
      </w:r>
      <w:r>
        <w:rPr>
          <w:rFonts w:hint="eastAsia" w:cs="楷体" w:asciiTheme="minorEastAsia" w:hAnsiTheme="minorEastAsia" w:eastAsiaTheme="minorEastAsia"/>
          <w:sz w:val="24"/>
        </w:rPr>
        <w:t>），并严格履行廉政责任，严防发生违法违纪行为。经查实发现有受贿、行贿和贪污等行为的，将对相关人员按情节轻重作出相应处分或处罚，取消投标人供货资格并终止购销合同，触犯刑律的，依法追究法律责任。</w:t>
      </w:r>
    </w:p>
    <w:p>
      <w:pPr>
        <w:rPr>
          <w:rFonts w:cs="方正小标宋简体" w:asciiTheme="minorEastAsia" w:hAnsiTheme="minorEastAsia" w:eastAsiaTheme="minorEastAsia"/>
          <w:b/>
          <w:sz w:val="28"/>
          <w:szCs w:val="28"/>
        </w:rPr>
      </w:pPr>
    </w:p>
    <w:p>
      <w:pPr>
        <w:rPr>
          <w:rFonts w:cs="方正小标宋简体" w:asciiTheme="minorEastAsia" w:hAnsiTheme="minorEastAsia" w:eastAsiaTheme="minorEastAsia"/>
          <w:b/>
          <w:sz w:val="28"/>
          <w:szCs w:val="28"/>
        </w:rPr>
      </w:pPr>
    </w:p>
    <w:p>
      <w:pPr>
        <w:rPr>
          <w:rFonts w:cs="方正小标宋简体" w:asciiTheme="minorEastAsia" w:hAnsiTheme="minorEastAsia" w:eastAsiaTheme="minorEastAsia"/>
          <w:b/>
          <w:sz w:val="28"/>
          <w:szCs w:val="28"/>
        </w:rPr>
      </w:pPr>
    </w:p>
    <w:p>
      <w:pPr>
        <w:rPr>
          <w:rFonts w:cs="方正小标宋简体" w:asciiTheme="minorEastAsia" w:hAnsiTheme="minorEastAsia" w:eastAsiaTheme="minorEastAsia"/>
          <w:b/>
          <w:sz w:val="28"/>
          <w:szCs w:val="28"/>
        </w:rPr>
      </w:pPr>
    </w:p>
    <w:p>
      <w:pPr>
        <w:rPr>
          <w:rFonts w:cs="方正小标宋简体" w:asciiTheme="minorEastAsia" w:hAnsiTheme="minorEastAsia" w:eastAsiaTheme="minorEastAsia"/>
          <w:b/>
          <w:sz w:val="28"/>
          <w:szCs w:val="28"/>
        </w:rPr>
      </w:pPr>
      <w:r>
        <w:rPr>
          <w:rFonts w:hint="eastAsia" w:cs="方正小标宋简体" w:asciiTheme="minorEastAsia" w:hAnsiTheme="minorEastAsia" w:eastAsiaTheme="minorEastAsia"/>
          <w:b/>
          <w:sz w:val="28"/>
          <w:szCs w:val="28"/>
        </w:rPr>
        <w:t>附件1：</w:t>
      </w:r>
    </w:p>
    <w:p>
      <w:pPr>
        <w:jc w:val="center"/>
        <w:rPr>
          <w:rFonts w:ascii="方正小标宋简体" w:hAnsi="方正小标宋简体" w:eastAsia="方正小标宋简体" w:cs="方正小标宋简体"/>
          <w:b/>
          <w:sz w:val="32"/>
          <w:szCs w:val="36"/>
        </w:rPr>
      </w:pPr>
      <w:r>
        <w:rPr>
          <w:rFonts w:hint="eastAsia" w:ascii="方正小标宋简体" w:hAnsi="方正小标宋简体" w:eastAsia="方正小标宋简体" w:cs="方正小标宋简体"/>
          <w:b/>
          <w:sz w:val="32"/>
          <w:szCs w:val="36"/>
          <w:u w:val="single"/>
        </w:rPr>
        <w:t>仙游县</w:t>
      </w:r>
      <w:r>
        <w:rPr>
          <w:rFonts w:hint="eastAsia" w:ascii="方正小标宋简体" w:hAnsi="方正小标宋简体" w:eastAsia="方正小标宋简体" w:cs="方正小标宋简体"/>
          <w:b/>
          <w:sz w:val="32"/>
          <w:szCs w:val="36"/>
        </w:rPr>
        <w:t>中小学（幼儿园）</w:t>
      </w:r>
    </w:p>
    <w:p>
      <w:pPr>
        <w:jc w:val="center"/>
        <w:rPr>
          <w:rFonts w:ascii="黑体" w:hAnsi="黑体" w:eastAsia="黑体"/>
          <w:b/>
          <w:sz w:val="28"/>
          <w:szCs w:val="32"/>
        </w:rPr>
      </w:pPr>
      <w:r>
        <w:rPr>
          <w:rFonts w:hint="eastAsia" w:ascii="方正小标宋简体" w:hAnsi="方正小标宋简体" w:eastAsia="方正小标宋简体" w:cs="方正小标宋简体"/>
          <w:b/>
          <w:sz w:val="32"/>
          <w:szCs w:val="36"/>
        </w:rPr>
        <w:t>食堂大宗食品定点采购投标人评议表</w:t>
      </w:r>
    </w:p>
    <w:tbl>
      <w:tblPr>
        <w:tblStyle w:val="10"/>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486"/>
        <w:gridCol w:w="1121"/>
        <w:gridCol w:w="381"/>
        <w:gridCol w:w="775"/>
        <w:gridCol w:w="2401"/>
        <w:gridCol w:w="8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17" w:type="dxa"/>
          </w:tcPr>
          <w:p>
            <w:pPr>
              <w:spacing w:line="300" w:lineRule="exact"/>
              <w:jc w:val="center"/>
              <w:rPr>
                <w:rFonts w:ascii="仿宋_GB2312" w:hAnsi="仿宋_GB2312" w:eastAsia="仿宋_GB2312" w:cs="仿宋_GB2312"/>
                <w:sz w:val="23"/>
                <w:szCs w:val="23"/>
              </w:rPr>
            </w:pPr>
            <w:r>
              <w:rPr>
                <w:rFonts w:hint="eastAsia" w:ascii="仿宋_GB2312" w:hAnsi="仿宋_GB2312" w:eastAsia="仿宋_GB2312" w:cs="仿宋_GB2312"/>
                <w:sz w:val="23"/>
                <w:szCs w:val="23"/>
              </w:rPr>
              <w:t>投标人名称</w:t>
            </w:r>
          </w:p>
        </w:tc>
        <w:tc>
          <w:tcPr>
            <w:tcW w:w="7973" w:type="dxa"/>
            <w:gridSpan w:val="7"/>
          </w:tcPr>
          <w:p>
            <w:pPr>
              <w:spacing w:line="300" w:lineRule="exact"/>
              <w:jc w:val="center"/>
              <w:rPr>
                <w:rFonts w:ascii="仿宋_GB2312" w:hAnsi="仿宋_GB2312" w:eastAsia="仿宋_GB2312" w:cs="仿宋_GB231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17" w:type="dxa"/>
          </w:tcPr>
          <w:p>
            <w:pPr>
              <w:spacing w:line="300" w:lineRule="exact"/>
              <w:jc w:val="center"/>
              <w:rPr>
                <w:rFonts w:ascii="仿宋_GB2312" w:hAnsi="仿宋_GB2312" w:eastAsia="仿宋_GB2312" w:cs="仿宋_GB2312"/>
                <w:sz w:val="23"/>
                <w:szCs w:val="23"/>
              </w:rPr>
            </w:pPr>
            <w:r>
              <w:rPr>
                <w:rFonts w:hint="eastAsia" w:ascii="仿宋_GB2312" w:hAnsi="仿宋_GB2312" w:eastAsia="仿宋_GB2312" w:cs="仿宋_GB2312"/>
                <w:sz w:val="23"/>
                <w:szCs w:val="23"/>
              </w:rPr>
              <w:t>供应食品</w:t>
            </w:r>
          </w:p>
        </w:tc>
        <w:tc>
          <w:tcPr>
            <w:tcW w:w="1486" w:type="dxa"/>
          </w:tcPr>
          <w:p>
            <w:pPr>
              <w:spacing w:line="300" w:lineRule="exact"/>
              <w:jc w:val="center"/>
              <w:rPr>
                <w:rFonts w:ascii="仿宋_GB2312" w:hAnsi="仿宋_GB2312" w:eastAsia="仿宋_GB2312" w:cs="仿宋_GB2312"/>
                <w:sz w:val="23"/>
                <w:szCs w:val="23"/>
              </w:rPr>
            </w:pPr>
          </w:p>
        </w:tc>
        <w:tc>
          <w:tcPr>
            <w:tcW w:w="1502" w:type="dxa"/>
            <w:gridSpan w:val="2"/>
          </w:tcPr>
          <w:p>
            <w:pPr>
              <w:spacing w:line="300" w:lineRule="exact"/>
              <w:jc w:val="center"/>
              <w:rPr>
                <w:rFonts w:ascii="仿宋_GB2312" w:hAnsi="仿宋_GB2312" w:eastAsia="仿宋_GB2312" w:cs="仿宋_GB2312"/>
                <w:sz w:val="23"/>
                <w:szCs w:val="23"/>
              </w:rPr>
            </w:pPr>
            <w:r>
              <w:rPr>
                <w:rFonts w:hint="eastAsia" w:ascii="仿宋_GB2312" w:hAnsi="仿宋_GB2312" w:eastAsia="仿宋_GB2312" w:cs="仿宋_GB2312"/>
                <w:sz w:val="23"/>
                <w:szCs w:val="23"/>
              </w:rPr>
              <w:t>供应时间</w:t>
            </w:r>
          </w:p>
        </w:tc>
        <w:tc>
          <w:tcPr>
            <w:tcW w:w="4985" w:type="dxa"/>
            <w:gridSpan w:val="4"/>
          </w:tcPr>
          <w:p>
            <w:pPr>
              <w:spacing w:line="300" w:lineRule="exact"/>
              <w:rPr>
                <w:rFonts w:ascii="仿宋_GB2312" w:hAnsi="仿宋_GB2312" w:eastAsia="仿宋_GB2312" w:cs="仿宋_GB2312"/>
                <w:sz w:val="23"/>
                <w:szCs w:val="23"/>
              </w:rPr>
            </w:pPr>
            <w:r>
              <w:rPr>
                <w:rFonts w:ascii="仿宋_GB2312" w:hAnsi="仿宋_GB2312" w:eastAsia="仿宋_GB2312" w:cs="仿宋_GB2312"/>
                <w:sz w:val="23"/>
                <w:szCs w:val="23"/>
              </w:rPr>
              <w:t xml:space="preserve">      </w:t>
            </w:r>
            <w:r>
              <w:rPr>
                <w:rFonts w:hint="eastAsia" w:ascii="仿宋_GB2312" w:hAnsi="仿宋_GB2312" w:eastAsia="仿宋_GB2312" w:cs="仿宋_GB2312"/>
                <w:sz w:val="23"/>
                <w:szCs w:val="23"/>
              </w:rPr>
              <w:t>年</w:t>
            </w:r>
            <w:r>
              <w:rPr>
                <w:rFonts w:ascii="仿宋_GB2312" w:hAnsi="仿宋_GB2312" w:eastAsia="仿宋_GB2312" w:cs="仿宋_GB2312"/>
                <w:sz w:val="23"/>
                <w:szCs w:val="23"/>
              </w:rPr>
              <w:t xml:space="preserve">  </w:t>
            </w:r>
            <w:r>
              <w:rPr>
                <w:rFonts w:hint="eastAsia" w:ascii="仿宋_GB2312" w:hAnsi="仿宋_GB2312" w:eastAsia="仿宋_GB2312" w:cs="仿宋_GB2312"/>
                <w:sz w:val="23"/>
                <w:szCs w:val="23"/>
              </w:rPr>
              <w:t>月</w:t>
            </w:r>
            <w:r>
              <w:rPr>
                <w:rFonts w:ascii="仿宋_GB2312" w:hAnsi="仿宋_GB2312" w:eastAsia="仿宋_GB2312" w:cs="仿宋_GB2312"/>
                <w:sz w:val="23"/>
                <w:szCs w:val="23"/>
              </w:rPr>
              <w:t xml:space="preserve">  </w:t>
            </w:r>
            <w:r>
              <w:rPr>
                <w:rFonts w:hint="eastAsia" w:ascii="仿宋_GB2312" w:hAnsi="仿宋_GB2312" w:eastAsia="仿宋_GB2312" w:cs="仿宋_GB2312"/>
                <w:sz w:val="23"/>
                <w:szCs w:val="23"/>
              </w:rPr>
              <w:t>日</w:t>
            </w:r>
            <w:r>
              <w:rPr>
                <w:rFonts w:ascii="仿宋_GB2312" w:hAnsi="仿宋_GB2312" w:eastAsia="仿宋_GB2312" w:cs="仿宋_GB2312"/>
                <w:sz w:val="23"/>
                <w:szCs w:val="23"/>
              </w:rPr>
              <w:t xml:space="preserve">—     </w:t>
            </w:r>
            <w:r>
              <w:rPr>
                <w:rFonts w:hint="eastAsia" w:ascii="仿宋_GB2312" w:hAnsi="仿宋_GB2312" w:eastAsia="仿宋_GB2312" w:cs="仿宋_GB2312"/>
                <w:sz w:val="23"/>
                <w:szCs w:val="23"/>
              </w:rPr>
              <w:t>年</w:t>
            </w:r>
            <w:r>
              <w:rPr>
                <w:rFonts w:ascii="仿宋_GB2312" w:hAnsi="仿宋_GB2312" w:eastAsia="仿宋_GB2312" w:cs="仿宋_GB2312"/>
                <w:sz w:val="23"/>
                <w:szCs w:val="23"/>
              </w:rPr>
              <w:t xml:space="preserve">   </w:t>
            </w:r>
            <w:r>
              <w:rPr>
                <w:rFonts w:hint="eastAsia" w:ascii="仿宋_GB2312" w:hAnsi="仿宋_GB2312" w:eastAsia="仿宋_GB2312" w:cs="仿宋_GB2312"/>
                <w:sz w:val="23"/>
                <w:szCs w:val="23"/>
              </w:rPr>
              <w:t>月</w:t>
            </w:r>
            <w:r>
              <w:rPr>
                <w:rFonts w:ascii="仿宋_GB2312" w:hAnsi="仿宋_GB2312" w:eastAsia="仿宋_GB2312" w:cs="仿宋_GB2312"/>
                <w:sz w:val="23"/>
                <w:szCs w:val="23"/>
              </w:rPr>
              <w:t xml:space="preserve">   </w:t>
            </w:r>
            <w:r>
              <w:rPr>
                <w:rFonts w:hint="eastAsia" w:ascii="仿宋_GB2312" w:hAnsi="仿宋_GB2312" w:eastAsia="仿宋_GB2312" w:cs="仿宋_GB2312"/>
                <w:sz w:val="23"/>
                <w:szCs w:val="23"/>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517" w:type="dxa"/>
          </w:tcPr>
          <w:p>
            <w:pPr>
              <w:spacing w:line="300" w:lineRule="exact"/>
              <w:jc w:val="center"/>
              <w:rPr>
                <w:rFonts w:ascii="仿宋_GB2312" w:hAnsi="仿宋_GB2312" w:eastAsia="仿宋_GB2312" w:cs="仿宋_GB2312"/>
                <w:sz w:val="23"/>
                <w:szCs w:val="23"/>
              </w:rPr>
            </w:pPr>
            <w:r>
              <w:rPr>
                <w:rFonts w:hint="eastAsia" w:ascii="仿宋_GB2312" w:hAnsi="仿宋_GB2312" w:eastAsia="仿宋_GB2312" w:cs="仿宋_GB2312"/>
                <w:sz w:val="23"/>
                <w:szCs w:val="23"/>
              </w:rPr>
              <w:t>指标</w:t>
            </w:r>
          </w:p>
        </w:tc>
        <w:tc>
          <w:tcPr>
            <w:tcW w:w="6164" w:type="dxa"/>
            <w:gridSpan w:val="5"/>
          </w:tcPr>
          <w:p>
            <w:pPr>
              <w:spacing w:line="300" w:lineRule="exact"/>
              <w:jc w:val="center"/>
              <w:rPr>
                <w:rFonts w:ascii="仿宋_GB2312" w:hAnsi="仿宋_GB2312" w:eastAsia="仿宋_GB2312" w:cs="仿宋_GB2312"/>
                <w:sz w:val="23"/>
                <w:szCs w:val="23"/>
              </w:rPr>
            </w:pPr>
            <w:r>
              <w:rPr>
                <w:rFonts w:hint="eastAsia" w:ascii="仿宋_GB2312" w:hAnsi="仿宋_GB2312" w:eastAsia="仿宋_GB2312" w:cs="仿宋_GB2312"/>
                <w:sz w:val="23"/>
                <w:szCs w:val="23"/>
              </w:rPr>
              <w:t>评议描述说明</w:t>
            </w:r>
          </w:p>
        </w:tc>
        <w:tc>
          <w:tcPr>
            <w:tcW w:w="817" w:type="dxa"/>
          </w:tcPr>
          <w:p>
            <w:pPr>
              <w:spacing w:line="300" w:lineRule="exact"/>
              <w:jc w:val="center"/>
              <w:rPr>
                <w:rFonts w:ascii="仿宋_GB2312" w:hAnsi="仿宋_GB2312" w:eastAsia="仿宋_GB2312" w:cs="仿宋_GB2312"/>
                <w:sz w:val="23"/>
                <w:szCs w:val="23"/>
              </w:rPr>
            </w:pPr>
            <w:r>
              <w:rPr>
                <w:rFonts w:hint="eastAsia" w:ascii="仿宋_GB2312" w:hAnsi="仿宋_GB2312" w:eastAsia="仿宋_GB2312" w:cs="仿宋_GB2312"/>
                <w:sz w:val="23"/>
                <w:szCs w:val="23"/>
              </w:rPr>
              <w:t>得分</w:t>
            </w:r>
          </w:p>
        </w:tc>
        <w:tc>
          <w:tcPr>
            <w:tcW w:w="992" w:type="dxa"/>
          </w:tcPr>
          <w:p>
            <w:pPr>
              <w:spacing w:line="300" w:lineRule="exact"/>
              <w:jc w:val="center"/>
              <w:rPr>
                <w:rFonts w:ascii="仿宋_GB2312" w:hAnsi="仿宋_GB2312" w:eastAsia="仿宋_GB2312" w:cs="仿宋_GB2312"/>
                <w:sz w:val="23"/>
                <w:szCs w:val="23"/>
              </w:rPr>
            </w:pPr>
            <w:r>
              <w:rPr>
                <w:rFonts w:hint="eastAsia" w:ascii="仿宋_GB2312" w:hAnsi="仿宋_GB2312" w:eastAsia="仿宋_GB2312" w:cs="仿宋_GB2312"/>
                <w:sz w:val="23"/>
                <w:szCs w:val="23"/>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517" w:type="dxa"/>
            <w:vAlign w:val="center"/>
          </w:tcPr>
          <w:p>
            <w:pPr>
              <w:spacing w:line="300" w:lineRule="exact"/>
              <w:jc w:val="center"/>
              <w:rPr>
                <w:rFonts w:ascii="仿宋_GB2312" w:hAnsi="仿宋_GB2312" w:eastAsia="仿宋_GB2312" w:cs="仿宋_GB2312"/>
                <w:b/>
                <w:sz w:val="23"/>
                <w:szCs w:val="23"/>
              </w:rPr>
            </w:pPr>
            <w:r>
              <w:rPr>
                <w:rFonts w:hint="eastAsia" w:ascii="仿宋_GB2312" w:hAnsi="仿宋_GB2312" w:eastAsia="仿宋_GB2312" w:cs="仿宋_GB2312"/>
                <w:b/>
                <w:sz w:val="23"/>
                <w:szCs w:val="23"/>
              </w:rPr>
              <w:t>送货及时性评价</w:t>
            </w:r>
          </w:p>
          <w:p>
            <w:pPr>
              <w:spacing w:line="300" w:lineRule="exact"/>
              <w:jc w:val="center"/>
              <w:rPr>
                <w:rFonts w:ascii="仿宋_GB2312" w:hAnsi="仿宋_GB2312" w:eastAsia="仿宋_GB2312" w:cs="仿宋_GB2312"/>
                <w:b/>
                <w:sz w:val="23"/>
                <w:szCs w:val="23"/>
              </w:rPr>
            </w:pPr>
            <w:r>
              <w:rPr>
                <w:rFonts w:hint="eastAsia" w:ascii="仿宋_GB2312" w:hAnsi="仿宋_GB2312" w:eastAsia="仿宋_GB2312" w:cs="仿宋_GB2312"/>
                <w:b/>
                <w:sz w:val="23"/>
                <w:szCs w:val="23"/>
              </w:rPr>
              <w:t>（</w:t>
            </w:r>
            <w:r>
              <w:rPr>
                <w:rFonts w:ascii="仿宋_GB2312" w:hAnsi="仿宋_GB2312" w:eastAsia="仿宋_GB2312" w:cs="仿宋_GB2312"/>
                <w:b/>
                <w:sz w:val="23"/>
                <w:szCs w:val="23"/>
              </w:rPr>
              <w:t>15</w:t>
            </w:r>
            <w:r>
              <w:rPr>
                <w:rFonts w:hint="eastAsia" w:ascii="仿宋_GB2312" w:hAnsi="仿宋_GB2312" w:eastAsia="仿宋_GB2312" w:cs="仿宋_GB2312"/>
                <w:b/>
                <w:sz w:val="23"/>
                <w:szCs w:val="23"/>
              </w:rPr>
              <w:t>分）</w:t>
            </w:r>
          </w:p>
        </w:tc>
        <w:tc>
          <w:tcPr>
            <w:tcW w:w="6164" w:type="dxa"/>
            <w:gridSpan w:val="5"/>
          </w:tcPr>
          <w:p>
            <w:pPr>
              <w:spacing w:line="300" w:lineRule="exact"/>
              <w:rPr>
                <w:rFonts w:ascii="仿宋_GB2312" w:hAnsi="仿宋_GB2312" w:eastAsia="仿宋_GB2312" w:cs="仿宋_GB2312"/>
                <w:sz w:val="23"/>
                <w:szCs w:val="23"/>
              </w:rPr>
            </w:pPr>
            <w:r>
              <w:rPr>
                <w:rFonts w:hint="eastAsia" w:ascii="仿宋_GB2312" w:hAnsi="仿宋_GB2312" w:eastAsia="仿宋_GB2312" w:cs="仿宋_GB2312"/>
                <w:sz w:val="23"/>
                <w:szCs w:val="23"/>
              </w:rPr>
              <w:t>送货非常及时，从未发生过拖延、延迟现象，得</w:t>
            </w:r>
            <w:r>
              <w:rPr>
                <w:rFonts w:ascii="仿宋_GB2312" w:hAnsi="仿宋_GB2312" w:eastAsia="仿宋_GB2312" w:cs="仿宋_GB2312"/>
                <w:sz w:val="23"/>
                <w:szCs w:val="23"/>
              </w:rPr>
              <w:t>15</w:t>
            </w:r>
            <w:r>
              <w:rPr>
                <w:rFonts w:hint="eastAsia" w:ascii="仿宋_GB2312" w:hAnsi="仿宋_GB2312" w:eastAsia="仿宋_GB2312" w:cs="仿宋_GB2312"/>
                <w:sz w:val="23"/>
                <w:szCs w:val="23"/>
              </w:rPr>
              <w:t>分；送货偶尔不及时，得</w:t>
            </w:r>
            <w:r>
              <w:rPr>
                <w:rFonts w:ascii="仿宋_GB2312" w:hAnsi="仿宋_GB2312" w:eastAsia="仿宋_GB2312" w:cs="仿宋_GB2312"/>
                <w:sz w:val="23"/>
                <w:szCs w:val="23"/>
              </w:rPr>
              <w:t>9-14</w:t>
            </w:r>
            <w:r>
              <w:rPr>
                <w:rFonts w:hint="eastAsia" w:ascii="仿宋_GB2312" w:hAnsi="仿宋_GB2312" w:eastAsia="仿宋_GB2312" w:cs="仿宋_GB2312"/>
                <w:sz w:val="23"/>
                <w:szCs w:val="23"/>
              </w:rPr>
              <w:t>分。送货基本不及时</w:t>
            </w:r>
            <w:r>
              <w:rPr>
                <w:rFonts w:ascii="仿宋_GB2312" w:hAnsi="仿宋_GB2312" w:eastAsia="仿宋_GB2312" w:cs="仿宋_GB2312"/>
                <w:sz w:val="23"/>
                <w:szCs w:val="23"/>
              </w:rPr>
              <w:t>8</w:t>
            </w:r>
            <w:r>
              <w:rPr>
                <w:rFonts w:hint="eastAsia" w:ascii="仿宋_GB2312" w:hAnsi="仿宋_GB2312" w:eastAsia="仿宋_GB2312" w:cs="仿宋_GB2312"/>
                <w:sz w:val="23"/>
                <w:szCs w:val="23"/>
              </w:rPr>
              <w:t>分以下。（若因投标人原因造成的补货、换货等责任均由投标人承担，且须在规定的时间内送达，否则按迟到处理）</w:t>
            </w:r>
          </w:p>
        </w:tc>
        <w:tc>
          <w:tcPr>
            <w:tcW w:w="817" w:type="dxa"/>
          </w:tcPr>
          <w:p>
            <w:pPr>
              <w:spacing w:line="300" w:lineRule="exact"/>
              <w:rPr>
                <w:rFonts w:ascii="仿宋_GB2312" w:hAnsi="仿宋_GB2312" w:eastAsia="仿宋_GB2312" w:cs="仿宋_GB2312"/>
                <w:sz w:val="23"/>
                <w:szCs w:val="23"/>
              </w:rPr>
            </w:pPr>
          </w:p>
        </w:tc>
        <w:tc>
          <w:tcPr>
            <w:tcW w:w="992" w:type="dxa"/>
          </w:tcPr>
          <w:p>
            <w:pPr>
              <w:spacing w:line="300" w:lineRule="exact"/>
              <w:rPr>
                <w:rFonts w:ascii="仿宋_GB2312" w:hAnsi="仿宋_GB2312" w:eastAsia="仿宋_GB2312" w:cs="仿宋_GB231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517" w:type="dxa"/>
            <w:vAlign w:val="center"/>
          </w:tcPr>
          <w:p>
            <w:pPr>
              <w:spacing w:line="300" w:lineRule="exact"/>
              <w:jc w:val="center"/>
              <w:rPr>
                <w:rFonts w:ascii="仿宋_GB2312" w:hAnsi="仿宋_GB2312" w:eastAsia="仿宋_GB2312" w:cs="仿宋_GB2312"/>
                <w:sz w:val="23"/>
                <w:szCs w:val="23"/>
              </w:rPr>
            </w:pPr>
            <w:r>
              <w:rPr>
                <w:rFonts w:hint="eastAsia" w:ascii="仿宋_GB2312" w:hAnsi="仿宋_GB2312" w:eastAsia="仿宋_GB2312" w:cs="仿宋_GB2312"/>
                <w:b/>
                <w:sz w:val="23"/>
                <w:szCs w:val="23"/>
              </w:rPr>
              <w:t>食品质量控制及总体合格情况（</w:t>
            </w:r>
            <w:r>
              <w:rPr>
                <w:rFonts w:ascii="仿宋_GB2312" w:hAnsi="仿宋_GB2312" w:eastAsia="仿宋_GB2312" w:cs="仿宋_GB2312"/>
                <w:b/>
                <w:sz w:val="23"/>
                <w:szCs w:val="23"/>
              </w:rPr>
              <w:t>20</w:t>
            </w:r>
            <w:r>
              <w:rPr>
                <w:rFonts w:hint="eastAsia" w:ascii="仿宋_GB2312" w:hAnsi="仿宋_GB2312" w:eastAsia="仿宋_GB2312" w:cs="仿宋_GB2312"/>
                <w:b/>
                <w:sz w:val="23"/>
                <w:szCs w:val="23"/>
              </w:rPr>
              <w:t>分）</w:t>
            </w:r>
          </w:p>
        </w:tc>
        <w:tc>
          <w:tcPr>
            <w:tcW w:w="6164" w:type="dxa"/>
            <w:gridSpan w:val="5"/>
          </w:tcPr>
          <w:p>
            <w:pPr>
              <w:spacing w:line="300" w:lineRule="exact"/>
              <w:rPr>
                <w:rFonts w:ascii="仿宋_GB2312" w:hAnsi="仿宋_GB2312" w:eastAsia="仿宋_GB2312" w:cs="仿宋_GB2312"/>
                <w:sz w:val="23"/>
                <w:szCs w:val="23"/>
              </w:rPr>
            </w:pPr>
            <w:r>
              <w:rPr>
                <w:rFonts w:hint="eastAsia" w:ascii="仿宋_GB2312" w:hAnsi="仿宋_GB2312" w:eastAsia="仿宋_GB2312" w:cs="仿宋_GB2312"/>
                <w:sz w:val="23"/>
                <w:szCs w:val="23"/>
              </w:rPr>
              <w:t>以往的交货记录中，从未发生食品质量不合格的现象或事件，得</w:t>
            </w:r>
            <w:r>
              <w:rPr>
                <w:rFonts w:ascii="仿宋_GB2312" w:hAnsi="仿宋_GB2312" w:eastAsia="仿宋_GB2312" w:cs="仿宋_GB2312"/>
                <w:sz w:val="23"/>
                <w:szCs w:val="23"/>
              </w:rPr>
              <w:t>20</w:t>
            </w:r>
            <w:r>
              <w:rPr>
                <w:rFonts w:hint="eastAsia" w:ascii="仿宋_GB2312" w:hAnsi="仿宋_GB2312" w:eastAsia="仿宋_GB2312" w:cs="仿宋_GB2312"/>
                <w:sz w:val="23"/>
                <w:szCs w:val="23"/>
              </w:rPr>
              <w:t>分；偶尔出过食品质量不合格且能及时整改或主动退回的得</w:t>
            </w:r>
            <w:r>
              <w:rPr>
                <w:rFonts w:ascii="仿宋_GB2312" w:hAnsi="仿宋_GB2312" w:eastAsia="仿宋_GB2312" w:cs="仿宋_GB2312"/>
                <w:sz w:val="23"/>
                <w:szCs w:val="23"/>
              </w:rPr>
              <w:t>12-19</w:t>
            </w:r>
            <w:r>
              <w:rPr>
                <w:rFonts w:hint="eastAsia" w:ascii="仿宋_GB2312" w:hAnsi="仿宋_GB2312" w:eastAsia="仿宋_GB2312" w:cs="仿宋_GB2312"/>
                <w:sz w:val="23"/>
                <w:szCs w:val="23"/>
              </w:rPr>
              <w:t>分</w:t>
            </w:r>
            <w:r>
              <w:rPr>
                <w:rFonts w:ascii="仿宋_GB2312" w:hAnsi="仿宋_GB2312" w:eastAsia="仿宋_GB2312" w:cs="仿宋_GB2312"/>
                <w:sz w:val="23"/>
                <w:szCs w:val="23"/>
              </w:rPr>
              <w:t>,</w:t>
            </w:r>
            <w:r>
              <w:rPr>
                <w:rFonts w:hint="eastAsia" w:ascii="仿宋_GB2312" w:hAnsi="仿宋_GB2312" w:eastAsia="仿宋_GB2312" w:cs="仿宋_GB2312"/>
                <w:sz w:val="23"/>
                <w:szCs w:val="23"/>
              </w:rPr>
              <w:t>多次出现不合格的现象或事件的得</w:t>
            </w:r>
            <w:r>
              <w:rPr>
                <w:rFonts w:ascii="仿宋_GB2312" w:hAnsi="仿宋_GB2312" w:eastAsia="仿宋_GB2312" w:cs="仿宋_GB2312"/>
                <w:sz w:val="23"/>
                <w:szCs w:val="23"/>
              </w:rPr>
              <w:t>1</w:t>
            </w:r>
            <w:r>
              <w:rPr>
                <w:rFonts w:hint="eastAsia" w:ascii="仿宋_GB2312" w:hAnsi="仿宋_GB2312" w:eastAsia="仿宋_GB2312" w:cs="仿宋_GB2312"/>
                <w:sz w:val="23"/>
                <w:szCs w:val="23"/>
              </w:rPr>
              <w:t>1分以下。</w:t>
            </w:r>
          </w:p>
        </w:tc>
        <w:tc>
          <w:tcPr>
            <w:tcW w:w="817" w:type="dxa"/>
          </w:tcPr>
          <w:p>
            <w:pPr>
              <w:spacing w:line="300" w:lineRule="exact"/>
              <w:rPr>
                <w:rFonts w:ascii="仿宋_GB2312" w:hAnsi="仿宋_GB2312" w:eastAsia="仿宋_GB2312" w:cs="仿宋_GB2312"/>
                <w:sz w:val="23"/>
                <w:szCs w:val="23"/>
              </w:rPr>
            </w:pPr>
          </w:p>
        </w:tc>
        <w:tc>
          <w:tcPr>
            <w:tcW w:w="992" w:type="dxa"/>
          </w:tcPr>
          <w:p>
            <w:pPr>
              <w:spacing w:line="300" w:lineRule="exact"/>
              <w:rPr>
                <w:rFonts w:ascii="仿宋_GB2312" w:hAnsi="仿宋_GB2312" w:eastAsia="仿宋_GB2312" w:cs="仿宋_GB231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17" w:type="dxa"/>
            <w:vAlign w:val="center"/>
          </w:tcPr>
          <w:p>
            <w:pPr>
              <w:spacing w:line="300" w:lineRule="exact"/>
              <w:jc w:val="center"/>
              <w:rPr>
                <w:rFonts w:ascii="仿宋_GB2312" w:hAnsi="仿宋_GB2312" w:eastAsia="仿宋_GB2312" w:cs="仿宋_GB2312"/>
                <w:sz w:val="23"/>
                <w:szCs w:val="23"/>
              </w:rPr>
            </w:pPr>
            <w:r>
              <w:rPr>
                <w:rFonts w:hint="eastAsia" w:ascii="仿宋_GB2312" w:hAnsi="仿宋_GB2312" w:eastAsia="仿宋_GB2312" w:cs="仿宋_GB2312"/>
                <w:b/>
                <w:sz w:val="23"/>
                <w:szCs w:val="23"/>
              </w:rPr>
              <w:t>食品数量符合评价（</w:t>
            </w:r>
            <w:r>
              <w:rPr>
                <w:rFonts w:ascii="仿宋_GB2312" w:hAnsi="仿宋_GB2312" w:eastAsia="仿宋_GB2312" w:cs="仿宋_GB2312"/>
                <w:b/>
                <w:sz w:val="23"/>
                <w:szCs w:val="23"/>
              </w:rPr>
              <w:t>20</w:t>
            </w:r>
            <w:r>
              <w:rPr>
                <w:rFonts w:hint="eastAsia" w:ascii="仿宋_GB2312" w:hAnsi="仿宋_GB2312" w:eastAsia="仿宋_GB2312" w:cs="仿宋_GB2312"/>
                <w:b/>
                <w:sz w:val="23"/>
                <w:szCs w:val="23"/>
              </w:rPr>
              <w:t>分）</w:t>
            </w:r>
          </w:p>
        </w:tc>
        <w:tc>
          <w:tcPr>
            <w:tcW w:w="6164" w:type="dxa"/>
            <w:gridSpan w:val="5"/>
          </w:tcPr>
          <w:p>
            <w:pPr>
              <w:spacing w:line="300" w:lineRule="exact"/>
              <w:rPr>
                <w:rFonts w:ascii="仿宋_GB2312" w:hAnsi="仿宋_GB2312" w:eastAsia="仿宋_GB2312" w:cs="仿宋_GB2312"/>
                <w:sz w:val="23"/>
                <w:szCs w:val="23"/>
              </w:rPr>
            </w:pPr>
            <w:r>
              <w:rPr>
                <w:rFonts w:hint="eastAsia" w:ascii="仿宋_GB2312" w:hAnsi="仿宋_GB2312" w:eastAsia="仿宋_GB2312" w:cs="仿宋_GB2312"/>
                <w:sz w:val="23"/>
                <w:szCs w:val="23"/>
              </w:rPr>
              <w:t>按《配送单》送货，重量总是足称，不缺斤少两，得</w:t>
            </w:r>
            <w:r>
              <w:rPr>
                <w:rFonts w:ascii="仿宋_GB2312" w:hAnsi="仿宋_GB2312" w:eastAsia="仿宋_GB2312" w:cs="仿宋_GB2312"/>
                <w:sz w:val="23"/>
                <w:szCs w:val="23"/>
              </w:rPr>
              <w:t>20</w:t>
            </w:r>
            <w:r>
              <w:rPr>
                <w:rFonts w:hint="eastAsia" w:ascii="仿宋_GB2312" w:hAnsi="仿宋_GB2312" w:eastAsia="仿宋_GB2312" w:cs="仿宋_GB2312"/>
                <w:sz w:val="23"/>
                <w:szCs w:val="23"/>
              </w:rPr>
              <w:t>分；食品重量基本符合《配送单》要求的得</w:t>
            </w:r>
            <w:r>
              <w:rPr>
                <w:rFonts w:ascii="仿宋_GB2312" w:hAnsi="仿宋_GB2312" w:eastAsia="仿宋_GB2312" w:cs="仿宋_GB2312"/>
                <w:sz w:val="23"/>
                <w:szCs w:val="23"/>
              </w:rPr>
              <w:t>12-19</w:t>
            </w:r>
            <w:r>
              <w:rPr>
                <w:rFonts w:hint="eastAsia" w:ascii="仿宋_GB2312" w:hAnsi="仿宋_GB2312" w:eastAsia="仿宋_GB2312" w:cs="仿宋_GB2312"/>
                <w:sz w:val="23"/>
                <w:szCs w:val="23"/>
              </w:rPr>
              <w:t>分，数量、重量经常出现明显不足的</w:t>
            </w:r>
            <w:r>
              <w:rPr>
                <w:rFonts w:ascii="仿宋_GB2312" w:hAnsi="仿宋_GB2312" w:eastAsia="仿宋_GB2312" w:cs="仿宋_GB2312"/>
                <w:sz w:val="23"/>
                <w:szCs w:val="23"/>
              </w:rPr>
              <w:t>1</w:t>
            </w:r>
            <w:r>
              <w:rPr>
                <w:rFonts w:hint="eastAsia" w:ascii="仿宋_GB2312" w:hAnsi="仿宋_GB2312" w:eastAsia="仿宋_GB2312" w:cs="仿宋_GB2312"/>
                <w:sz w:val="23"/>
                <w:szCs w:val="23"/>
              </w:rPr>
              <w:t>1分以下。</w:t>
            </w:r>
          </w:p>
        </w:tc>
        <w:tc>
          <w:tcPr>
            <w:tcW w:w="817" w:type="dxa"/>
          </w:tcPr>
          <w:p>
            <w:pPr>
              <w:spacing w:line="300" w:lineRule="exact"/>
              <w:rPr>
                <w:rFonts w:ascii="仿宋_GB2312" w:hAnsi="仿宋_GB2312" w:eastAsia="仿宋_GB2312" w:cs="仿宋_GB2312"/>
                <w:sz w:val="23"/>
                <w:szCs w:val="23"/>
              </w:rPr>
            </w:pPr>
          </w:p>
        </w:tc>
        <w:tc>
          <w:tcPr>
            <w:tcW w:w="992" w:type="dxa"/>
          </w:tcPr>
          <w:p>
            <w:pPr>
              <w:spacing w:line="300" w:lineRule="exact"/>
              <w:rPr>
                <w:rFonts w:ascii="仿宋_GB2312" w:hAnsi="仿宋_GB2312" w:eastAsia="仿宋_GB2312" w:cs="仿宋_GB231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517" w:type="dxa"/>
            <w:vAlign w:val="center"/>
          </w:tcPr>
          <w:p>
            <w:pPr>
              <w:spacing w:line="300" w:lineRule="exact"/>
              <w:jc w:val="center"/>
              <w:rPr>
                <w:rFonts w:ascii="仿宋_GB2312" w:hAnsi="仿宋_GB2312" w:eastAsia="仿宋_GB2312" w:cs="仿宋_GB2312"/>
                <w:b/>
                <w:sz w:val="23"/>
                <w:szCs w:val="23"/>
              </w:rPr>
            </w:pPr>
            <w:r>
              <w:rPr>
                <w:rFonts w:hint="eastAsia" w:ascii="仿宋_GB2312" w:hAnsi="仿宋_GB2312" w:eastAsia="仿宋_GB2312" w:cs="仿宋_GB2312"/>
                <w:b/>
                <w:sz w:val="23"/>
                <w:szCs w:val="23"/>
              </w:rPr>
              <w:t>食品采购索证索票情况（</w:t>
            </w:r>
            <w:r>
              <w:rPr>
                <w:rFonts w:ascii="仿宋_GB2312" w:hAnsi="仿宋_GB2312" w:eastAsia="仿宋_GB2312" w:cs="仿宋_GB2312"/>
                <w:b/>
                <w:sz w:val="23"/>
                <w:szCs w:val="23"/>
              </w:rPr>
              <w:t>10</w:t>
            </w:r>
            <w:r>
              <w:rPr>
                <w:rFonts w:hint="eastAsia" w:ascii="仿宋_GB2312" w:hAnsi="仿宋_GB2312" w:eastAsia="仿宋_GB2312" w:cs="仿宋_GB2312"/>
                <w:b/>
                <w:sz w:val="23"/>
                <w:szCs w:val="23"/>
              </w:rPr>
              <w:t>分）</w:t>
            </w:r>
          </w:p>
        </w:tc>
        <w:tc>
          <w:tcPr>
            <w:tcW w:w="6164" w:type="dxa"/>
            <w:gridSpan w:val="5"/>
          </w:tcPr>
          <w:p>
            <w:pPr>
              <w:spacing w:line="300" w:lineRule="exact"/>
              <w:rPr>
                <w:rFonts w:ascii="仿宋_GB2312" w:hAnsi="仿宋_GB2312" w:eastAsia="仿宋_GB2312" w:cs="仿宋_GB2312"/>
                <w:sz w:val="23"/>
                <w:szCs w:val="23"/>
              </w:rPr>
            </w:pPr>
            <w:r>
              <w:rPr>
                <w:rFonts w:hint="eastAsia" w:ascii="仿宋_GB2312" w:hAnsi="仿宋_GB2312" w:eastAsia="仿宋_GB2312" w:cs="仿宋_GB2312"/>
                <w:sz w:val="23"/>
                <w:szCs w:val="23"/>
              </w:rPr>
              <w:t>索证索票资料规范齐全及时，执行较好的</w:t>
            </w:r>
            <w:r>
              <w:rPr>
                <w:rFonts w:ascii="仿宋_GB2312" w:hAnsi="仿宋_GB2312" w:eastAsia="仿宋_GB2312" w:cs="仿宋_GB2312"/>
                <w:sz w:val="23"/>
                <w:szCs w:val="23"/>
              </w:rPr>
              <w:t>10</w:t>
            </w:r>
            <w:r>
              <w:rPr>
                <w:rFonts w:hint="eastAsia" w:ascii="仿宋_GB2312" w:hAnsi="仿宋_GB2312" w:eastAsia="仿宋_GB2312" w:cs="仿宋_GB2312"/>
                <w:sz w:val="23"/>
                <w:szCs w:val="23"/>
              </w:rPr>
              <w:t>分；索证索票执行一般得</w:t>
            </w:r>
            <w:r>
              <w:rPr>
                <w:rFonts w:ascii="仿宋_GB2312" w:hAnsi="仿宋_GB2312" w:eastAsia="仿宋_GB2312" w:cs="仿宋_GB2312"/>
                <w:sz w:val="23"/>
                <w:szCs w:val="23"/>
              </w:rPr>
              <w:t>6-9</w:t>
            </w:r>
            <w:r>
              <w:rPr>
                <w:rFonts w:hint="eastAsia" w:ascii="仿宋_GB2312" w:hAnsi="仿宋_GB2312" w:eastAsia="仿宋_GB2312" w:cs="仿宋_GB2312"/>
                <w:sz w:val="23"/>
                <w:szCs w:val="23"/>
              </w:rPr>
              <w:t>分；经常不提供的5分以下。</w:t>
            </w:r>
          </w:p>
        </w:tc>
        <w:tc>
          <w:tcPr>
            <w:tcW w:w="817" w:type="dxa"/>
          </w:tcPr>
          <w:p>
            <w:pPr>
              <w:spacing w:line="300" w:lineRule="exact"/>
              <w:rPr>
                <w:rFonts w:ascii="仿宋_GB2312" w:hAnsi="仿宋_GB2312" w:eastAsia="仿宋_GB2312" w:cs="仿宋_GB2312"/>
                <w:sz w:val="23"/>
                <w:szCs w:val="23"/>
              </w:rPr>
            </w:pPr>
          </w:p>
        </w:tc>
        <w:tc>
          <w:tcPr>
            <w:tcW w:w="992" w:type="dxa"/>
          </w:tcPr>
          <w:p>
            <w:pPr>
              <w:spacing w:line="300" w:lineRule="exact"/>
              <w:rPr>
                <w:rFonts w:ascii="仿宋_GB2312" w:hAnsi="仿宋_GB2312" w:eastAsia="仿宋_GB2312" w:cs="仿宋_GB231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517" w:type="dxa"/>
            <w:vAlign w:val="center"/>
          </w:tcPr>
          <w:p>
            <w:pPr>
              <w:spacing w:line="300" w:lineRule="exact"/>
              <w:jc w:val="center"/>
              <w:rPr>
                <w:rFonts w:ascii="仿宋_GB2312" w:hAnsi="仿宋_GB2312" w:eastAsia="仿宋_GB2312" w:cs="仿宋_GB2312"/>
                <w:b/>
                <w:sz w:val="23"/>
                <w:szCs w:val="23"/>
              </w:rPr>
            </w:pPr>
            <w:r>
              <w:rPr>
                <w:rFonts w:hint="eastAsia" w:ascii="仿宋_GB2312" w:hAnsi="仿宋_GB2312" w:eastAsia="仿宋_GB2312" w:cs="仿宋_GB2312"/>
                <w:b/>
                <w:sz w:val="23"/>
                <w:szCs w:val="23"/>
              </w:rPr>
              <w:t>仓储、运输车辆和可追溯监控评价</w:t>
            </w:r>
          </w:p>
          <w:p>
            <w:pPr>
              <w:spacing w:line="300" w:lineRule="exact"/>
              <w:jc w:val="center"/>
              <w:rPr>
                <w:rFonts w:ascii="仿宋_GB2312" w:hAnsi="仿宋_GB2312" w:eastAsia="仿宋_GB2312" w:cs="仿宋_GB2312"/>
                <w:sz w:val="23"/>
                <w:szCs w:val="23"/>
              </w:rPr>
            </w:pPr>
            <w:r>
              <w:rPr>
                <w:rFonts w:hint="eastAsia" w:ascii="仿宋_GB2312" w:hAnsi="仿宋_GB2312" w:eastAsia="仿宋_GB2312" w:cs="仿宋_GB2312"/>
                <w:b/>
                <w:sz w:val="23"/>
                <w:szCs w:val="23"/>
              </w:rPr>
              <w:t>（</w:t>
            </w:r>
            <w:r>
              <w:rPr>
                <w:rFonts w:ascii="仿宋_GB2312" w:hAnsi="仿宋_GB2312" w:eastAsia="仿宋_GB2312" w:cs="仿宋_GB2312"/>
                <w:b/>
                <w:sz w:val="23"/>
                <w:szCs w:val="23"/>
              </w:rPr>
              <w:t>15</w:t>
            </w:r>
            <w:r>
              <w:rPr>
                <w:rFonts w:hint="eastAsia" w:ascii="仿宋_GB2312" w:hAnsi="仿宋_GB2312" w:eastAsia="仿宋_GB2312" w:cs="仿宋_GB2312"/>
                <w:b/>
                <w:sz w:val="23"/>
                <w:szCs w:val="23"/>
              </w:rPr>
              <w:t>分）</w:t>
            </w:r>
          </w:p>
        </w:tc>
        <w:tc>
          <w:tcPr>
            <w:tcW w:w="6164" w:type="dxa"/>
            <w:gridSpan w:val="5"/>
          </w:tcPr>
          <w:p>
            <w:pPr>
              <w:spacing w:line="300" w:lineRule="exact"/>
              <w:rPr>
                <w:rFonts w:ascii="仿宋_GB2312" w:hAnsi="仿宋_GB2312" w:eastAsia="仿宋_GB2312" w:cs="仿宋_GB2312"/>
                <w:spacing w:val="-6"/>
                <w:sz w:val="23"/>
                <w:szCs w:val="23"/>
              </w:rPr>
            </w:pPr>
            <w:r>
              <w:rPr>
                <w:rFonts w:ascii="仿宋_GB2312" w:hAnsi="仿宋_GB2312" w:eastAsia="仿宋_GB2312" w:cs="仿宋_GB2312"/>
                <w:spacing w:val="-6"/>
                <w:sz w:val="23"/>
                <w:szCs w:val="23"/>
              </w:rPr>
              <w:t>仓储卫生和食品保护工作，在很好、好、较好、中、一般之间评分，5、4、3、2、1间评分，差不得分。根据不定期抽查。</w:t>
            </w:r>
          </w:p>
          <w:p>
            <w:pPr>
              <w:spacing w:line="300" w:lineRule="exact"/>
              <w:rPr>
                <w:rFonts w:ascii="仿宋_GB2312" w:hAnsi="仿宋_GB2312" w:eastAsia="仿宋_GB2312" w:cs="仿宋_GB2312"/>
                <w:spacing w:val="-6"/>
                <w:sz w:val="23"/>
                <w:szCs w:val="23"/>
              </w:rPr>
            </w:pPr>
            <w:r>
              <w:rPr>
                <w:rFonts w:ascii="仿宋_GB2312" w:hAnsi="仿宋_GB2312" w:eastAsia="仿宋_GB2312" w:cs="仿宋_GB2312"/>
                <w:spacing w:val="-6"/>
                <w:sz w:val="23"/>
                <w:szCs w:val="23"/>
              </w:rPr>
              <w:t>运输车辆卫生和食品保护工作，在很好、好、较好、中、一般之间评分，5、4、3、2、1间评分，差不得分。</w:t>
            </w:r>
          </w:p>
          <w:p>
            <w:pPr>
              <w:spacing w:line="300" w:lineRule="exact"/>
              <w:rPr>
                <w:rFonts w:ascii="仿宋_GB2312" w:hAnsi="仿宋_GB2312" w:eastAsia="仿宋_GB2312" w:cs="仿宋_GB2312"/>
                <w:sz w:val="23"/>
                <w:szCs w:val="23"/>
              </w:rPr>
            </w:pPr>
            <w:r>
              <w:rPr>
                <w:rFonts w:ascii="仿宋_GB2312" w:hAnsi="仿宋_GB2312" w:eastAsia="仿宋_GB2312" w:cs="仿宋_GB2312"/>
                <w:spacing w:val="-6"/>
                <w:sz w:val="23"/>
                <w:szCs w:val="23"/>
              </w:rPr>
              <w:t>可追溯措施评分，根据学校管理员实时查看，在很好、好、较好、中、一般之间评分，5、4、3、2、1间评分，差不得分。</w:t>
            </w:r>
          </w:p>
        </w:tc>
        <w:tc>
          <w:tcPr>
            <w:tcW w:w="817" w:type="dxa"/>
          </w:tcPr>
          <w:p>
            <w:pPr>
              <w:spacing w:line="300" w:lineRule="exact"/>
              <w:rPr>
                <w:rFonts w:ascii="仿宋_GB2312" w:hAnsi="仿宋_GB2312" w:eastAsia="仿宋_GB2312" w:cs="仿宋_GB2312"/>
                <w:sz w:val="23"/>
                <w:szCs w:val="23"/>
              </w:rPr>
            </w:pPr>
          </w:p>
        </w:tc>
        <w:tc>
          <w:tcPr>
            <w:tcW w:w="992" w:type="dxa"/>
          </w:tcPr>
          <w:p>
            <w:pPr>
              <w:spacing w:line="300" w:lineRule="exact"/>
              <w:rPr>
                <w:rFonts w:ascii="仿宋_GB2312" w:hAnsi="仿宋_GB2312" w:eastAsia="仿宋_GB2312" w:cs="仿宋_GB231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517" w:type="dxa"/>
            <w:vAlign w:val="center"/>
          </w:tcPr>
          <w:p>
            <w:pPr>
              <w:spacing w:line="300" w:lineRule="exact"/>
              <w:jc w:val="center"/>
              <w:rPr>
                <w:rFonts w:ascii="仿宋_GB2312" w:hAnsi="仿宋_GB2312" w:eastAsia="仿宋_GB2312" w:cs="仿宋_GB2312"/>
                <w:sz w:val="23"/>
                <w:szCs w:val="23"/>
              </w:rPr>
            </w:pPr>
            <w:r>
              <w:rPr>
                <w:rFonts w:hint="eastAsia" w:ascii="仿宋_GB2312" w:hAnsi="仿宋_GB2312" w:eastAsia="仿宋_GB2312" w:cs="仿宋_GB2312"/>
                <w:b/>
                <w:sz w:val="23"/>
                <w:szCs w:val="23"/>
              </w:rPr>
              <w:t>服务承诺兑现及态度评价（</w:t>
            </w:r>
            <w:r>
              <w:rPr>
                <w:rFonts w:ascii="仿宋_GB2312" w:hAnsi="仿宋_GB2312" w:eastAsia="仿宋_GB2312" w:cs="仿宋_GB2312"/>
                <w:b/>
                <w:sz w:val="23"/>
                <w:szCs w:val="23"/>
              </w:rPr>
              <w:t>20</w:t>
            </w:r>
            <w:r>
              <w:rPr>
                <w:rFonts w:hint="eastAsia" w:ascii="仿宋_GB2312" w:hAnsi="仿宋_GB2312" w:eastAsia="仿宋_GB2312" w:cs="仿宋_GB2312"/>
                <w:b/>
                <w:sz w:val="23"/>
                <w:szCs w:val="23"/>
              </w:rPr>
              <w:t>分）</w:t>
            </w:r>
          </w:p>
        </w:tc>
        <w:tc>
          <w:tcPr>
            <w:tcW w:w="6164" w:type="dxa"/>
            <w:gridSpan w:val="5"/>
          </w:tcPr>
          <w:p>
            <w:pPr>
              <w:spacing w:line="300" w:lineRule="exact"/>
              <w:rPr>
                <w:rFonts w:ascii="仿宋_GB2312" w:hAnsi="仿宋_GB2312" w:eastAsia="仿宋_GB2312" w:cs="仿宋_GB2312"/>
                <w:sz w:val="23"/>
                <w:szCs w:val="23"/>
              </w:rPr>
            </w:pPr>
            <w:r>
              <w:rPr>
                <w:rFonts w:hint="eastAsia" w:ascii="仿宋_GB2312" w:hAnsi="仿宋_GB2312" w:eastAsia="仿宋_GB2312" w:cs="仿宋_GB2312"/>
                <w:sz w:val="23"/>
                <w:szCs w:val="23"/>
              </w:rPr>
              <w:t>服务承诺执行到位，与投标人联系，态度良好、诚恳，有问题及时整改，得</w:t>
            </w:r>
            <w:r>
              <w:rPr>
                <w:rFonts w:ascii="仿宋_GB2312" w:hAnsi="仿宋_GB2312" w:eastAsia="仿宋_GB2312" w:cs="仿宋_GB2312"/>
                <w:sz w:val="23"/>
                <w:szCs w:val="23"/>
              </w:rPr>
              <w:t>20</w:t>
            </w:r>
            <w:r>
              <w:rPr>
                <w:rFonts w:hint="eastAsia" w:ascii="仿宋_GB2312" w:hAnsi="仿宋_GB2312" w:eastAsia="仿宋_GB2312" w:cs="仿宋_GB2312"/>
                <w:sz w:val="23"/>
                <w:szCs w:val="23"/>
              </w:rPr>
              <w:t>分；每次能主动通过各种形式开展配送意见征求，对学校反映的问题和建议能及时整改和采纳、服务承诺执行一般的，得</w:t>
            </w:r>
            <w:r>
              <w:rPr>
                <w:rFonts w:ascii="仿宋_GB2312" w:hAnsi="仿宋_GB2312" w:eastAsia="仿宋_GB2312" w:cs="仿宋_GB2312"/>
                <w:sz w:val="23"/>
                <w:szCs w:val="23"/>
              </w:rPr>
              <w:t>12-19</w:t>
            </w:r>
            <w:r>
              <w:rPr>
                <w:rFonts w:hint="eastAsia" w:ascii="仿宋_GB2312" w:hAnsi="仿宋_GB2312" w:eastAsia="仿宋_GB2312" w:cs="仿宋_GB2312"/>
                <w:sz w:val="23"/>
                <w:szCs w:val="23"/>
              </w:rPr>
              <w:t>分；对学校反映的问题和建议不能及时整改和采纳的，得分在</w:t>
            </w:r>
            <w:r>
              <w:rPr>
                <w:rFonts w:ascii="仿宋_GB2312" w:hAnsi="仿宋_GB2312" w:eastAsia="仿宋_GB2312" w:cs="仿宋_GB2312"/>
                <w:sz w:val="23"/>
                <w:szCs w:val="23"/>
              </w:rPr>
              <w:t>1</w:t>
            </w:r>
            <w:r>
              <w:rPr>
                <w:rFonts w:hint="eastAsia" w:ascii="仿宋_GB2312" w:hAnsi="仿宋_GB2312" w:eastAsia="仿宋_GB2312" w:cs="仿宋_GB2312"/>
                <w:sz w:val="23"/>
                <w:szCs w:val="23"/>
              </w:rPr>
              <w:t>1分以下。</w:t>
            </w:r>
          </w:p>
        </w:tc>
        <w:tc>
          <w:tcPr>
            <w:tcW w:w="817" w:type="dxa"/>
          </w:tcPr>
          <w:p>
            <w:pPr>
              <w:spacing w:line="300" w:lineRule="exact"/>
              <w:rPr>
                <w:rFonts w:ascii="仿宋_GB2312" w:hAnsi="仿宋_GB2312" w:eastAsia="仿宋_GB2312" w:cs="仿宋_GB2312"/>
                <w:sz w:val="23"/>
                <w:szCs w:val="23"/>
              </w:rPr>
            </w:pPr>
          </w:p>
        </w:tc>
        <w:tc>
          <w:tcPr>
            <w:tcW w:w="992" w:type="dxa"/>
          </w:tcPr>
          <w:p>
            <w:pPr>
              <w:spacing w:line="300" w:lineRule="exact"/>
              <w:rPr>
                <w:rFonts w:ascii="仿宋_GB2312" w:hAnsi="仿宋_GB2312" w:eastAsia="仿宋_GB2312" w:cs="仿宋_GB231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17" w:type="dxa"/>
            <w:vAlign w:val="center"/>
          </w:tcPr>
          <w:p>
            <w:pPr>
              <w:spacing w:line="300" w:lineRule="exact"/>
              <w:jc w:val="center"/>
              <w:rPr>
                <w:rFonts w:ascii="仿宋_GB2312" w:hAnsi="仿宋_GB2312" w:eastAsia="仿宋_GB2312" w:cs="仿宋_GB2312"/>
                <w:sz w:val="23"/>
                <w:szCs w:val="23"/>
              </w:rPr>
            </w:pPr>
            <w:r>
              <w:rPr>
                <w:rFonts w:hint="eastAsia" w:ascii="仿宋_GB2312" w:hAnsi="仿宋_GB2312" w:eastAsia="仿宋_GB2312" w:cs="仿宋_GB2312"/>
                <w:b/>
                <w:sz w:val="23"/>
                <w:szCs w:val="23"/>
              </w:rPr>
              <w:t>投标人评价总分</w:t>
            </w:r>
          </w:p>
        </w:tc>
        <w:tc>
          <w:tcPr>
            <w:tcW w:w="2607" w:type="dxa"/>
            <w:gridSpan w:val="2"/>
          </w:tcPr>
          <w:p>
            <w:pPr>
              <w:spacing w:line="300" w:lineRule="exact"/>
              <w:rPr>
                <w:rFonts w:ascii="仿宋_GB2312" w:hAnsi="仿宋_GB2312" w:eastAsia="仿宋_GB2312" w:cs="仿宋_GB2312"/>
                <w:sz w:val="23"/>
                <w:szCs w:val="23"/>
              </w:rPr>
            </w:pPr>
          </w:p>
        </w:tc>
        <w:tc>
          <w:tcPr>
            <w:tcW w:w="1156" w:type="dxa"/>
            <w:gridSpan w:val="2"/>
            <w:vAlign w:val="center"/>
          </w:tcPr>
          <w:p>
            <w:pPr>
              <w:spacing w:line="300" w:lineRule="exact"/>
              <w:jc w:val="center"/>
              <w:rPr>
                <w:rFonts w:ascii="仿宋_GB2312" w:hAnsi="仿宋_GB2312" w:eastAsia="仿宋_GB2312" w:cs="仿宋_GB2312"/>
                <w:b/>
                <w:sz w:val="23"/>
                <w:szCs w:val="23"/>
              </w:rPr>
            </w:pPr>
            <w:r>
              <w:rPr>
                <w:rFonts w:hint="eastAsia" w:ascii="仿宋_GB2312" w:hAnsi="仿宋_GB2312" w:eastAsia="仿宋_GB2312" w:cs="仿宋_GB2312"/>
                <w:b/>
                <w:sz w:val="23"/>
                <w:szCs w:val="23"/>
              </w:rPr>
              <w:t>评价等级</w:t>
            </w:r>
          </w:p>
        </w:tc>
        <w:tc>
          <w:tcPr>
            <w:tcW w:w="4210" w:type="dxa"/>
            <w:gridSpan w:val="3"/>
          </w:tcPr>
          <w:p>
            <w:pPr>
              <w:spacing w:line="300" w:lineRule="exact"/>
              <w:rPr>
                <w:rFonts w:ascii="仿宋_GB2312" w:hAnsi="仿宋_GB2312" w:eastAsia="仿宋_GB2312" w:cs="仿宋_GB231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9490" w:type="dxa"/>
            <w:gridSpan w:val="8"/>
            <w:vAlign w:val="center"/>
          </w:tcPr>
          <w:p>
            <w:pPr>
              <w:snapToGrid w:val="0"/>
              <w:spacing w:line="300" w:lineRule="exact"/>
              <w:ind w:firstLine="460" w:firstLineChars="200"/>
              <w:rPr>
                <w:rFonts w:ascii="仿宋_GB2312" w:hAnsi="仿宋_GB2312" w:eastAsia="仿宋_GB2312" w:cs="仿宋_GB2312"/>
                <w:sz w:val="23"/>
                <w:szCs w:val="23"/>
              </w:rPr>
            </w:pPr>
            <w:r>
              <w:rPr>
                <w:rFonts w:hint="eastAsia" w:ascii="仿宋_GB2312" w:hAnsi="仿宋_GB2312" w:eastAsia="仿宋_GB2312" w:cs="仿宋_GB2312"/>
                <w:sz w:val="23"/>
                <w:szCs w:val="23"/>
              </w:rPr>
              <w:t>本次测评满分</w:t>
            </w:r>
            <w:r>
              <w:rPr>
                <w:rFonts w:ascii="仿宋_GB2312" w:hAnsi="仿宋_GB2312" w:eastAsia="仿宋_GB2312" w:cs="仿宋_GB2312"/>
                <w:sz w:val="23"/>
                <w:szCs w:val="23"/>
              </w:rPr>
              <w:t>100</w:t>
            </w:r>
            <w:r>
              <w:rPr>
                <w:rFonts w:hint="eastAsia" w:ascii="仿宋_GB2312" w:hAnsi="仿宋_GB2312" w:eastAsia="仿宋_GB2312" w:cs="仿宋_GB2312"/>
                <w:sz w:val="23"/>
                <w:szCs w:val="23"/>
              </w:rPr>
              <w:t>分。各县区（管委会）教育局每学期至少组织两次对供货商进行服务质量综合评议，参与测评的可以是随机抽取的学生代表、学校分管副校长、学校食堂管理员等，测评人必须公平、公正、实事求是地评价供货商。测评人之间以及被测评人之间不得互通测评意见和评分标准，不得因此损害供货商利益。评价等级：优秀</w:t>
            </w:r>
            <w:r>
              <w:rPr>
                <w:rFonts w:ascii="仿宋_GB2312" w:hAnsi="仿宋_GB2312" w:eastAsia="仿宋_GB2312" w:cs="仿宋_GB2312"/>
                <w:sz w:val="23"/>
                <w:szCs w:val="23"/>
              </w:rPr>
              <w:t>90</w:t>
            </w:r>
            <w:r>
              <w:rPr>
                <w:rFonts w:hint="eastAsia" w:ascii="仿宋_GB2312" w:hAnsi="仿宋_GB2312" w:eastAsia="仿宋_GB2312" w:cs="仿宋_GB2312"/>
                <w:sz w:val="23"/>
                <w:szCs w:val="23"/>
              </w:rPr>
              <w:t>分以上，良</w:t>
            </w:r>
            <w:r>
              <w:rPr>
                <w:rFonts w:ascii="仿宋_GB2312" w:hAnsi="仿宋_GB2312" w:eastAsia="仿宋_GB2312" w:cs="仿宋_GB2312"/>
                <w:sz w:val="23"/>
                <w:szCs w:val="23"/>
              </w:rPr>
              <w:t>80-89</w:t>
            </w:r>
            <w:r>
              <w:rPr>
                <w:rFonts w:hint="eastAsia" w:ascii="仿宋_GB2312" w:hAnsi="仿宋_GB2312" w:eastAsia="仿宋_GB2312" w:cs="仿宋_GB2312"/>
                <w:sz w:val="23"/>
                <w:szCs w:val="23"/>
              </w:rPr>
              <w:t>分，及格</w:t>
            </w:r>
            <w:r>
              <w:rPr>
                <w:rFonts w:ascii="仿宋_GB2312" w:hAnsi="仿宋_GB2312" w:eastAsia="仿宋_GB2312" w:cs="仿宋_GB2312"/>
                <w:sz w:val="23"/>
                <w:szCs w:val="23"/>
              </w:rPr>
              <w:t>60-79</w:t>
            </w:r>
            <w:r>
              <w:rPr>
                <w:rFonts w:hint="eastAsia" w:ascii="仿宋_GB2312" w:hAnsi="仿宋_GB2312" w:eastAsia="仿宋_GB2312" w:cs="仿宋_GB2312"/>
                <w:sz w:val="23"/>
                <w:szCs w:val="23"/>
              </w:rPr>
              <w:t>分，不及格</w:t>
            </w:r>
            <w:r>
              <w:rPr>
                <w:rFonts w:ascii="仿宋_GB2312" w:hAnsi="仿宋_GB2312" w:eastAsia="仿宋_GB2312" w:cs="仿宋_GB2312"/>
                <w:sz w:val="23"/>
                <w:szCs w:val="23"/>
              </w:rPr>
              <w:t>60</w:t>
            </w:r>
            <w:r>
              <w:rPr>
                <w:rFonts w:hint="eastAsia" w:ascii="仿宋_GB2312" w:hAnsi="仿宋_GB2312" w:eastAsia="仿宋_GB2312" w:cs="仿宋_GB2312"/>
                <w:sz w:val="23"/>
                <w:szCs w:val="23"/>
              </w:rPr>
              <w:t>分以下。评议结果将作为取消投标人资格并终止合同的重要依据。连续2学年获得优秀等级的供货商可以获得下一轮招标“商务评分”中予以加1分，且同等条件下优先排序；对一次得分低于及格线（60分）的供货商则取消该区域的供货资格并终止购销合同。</w:t>
            </w:r>
          </w:p>
        </w:tc>
      </w:tr>
    </w:tbl>
    <w:p>
      <w:pPr>
        <w:ind w:firstLine="231" w:firstLineChars="100"/>
        <w:rPr>
          <w:b/>
        </w:rPr>
      </w:pPr>
      <w:r>
        <w:rPr>
          <w:rFonts w:hint="eastAsia"/>
          <w:b/>
          <w:sz w:val="23"/>
          <w:szCs w:val="23"/>
        </w:rPr>
        <w:t>评议人：                                    评议时间：</w:t>
      </w:r>
    </w:p>
    <w:p>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bCs/>
          <w:sz w:val="28"/>
          <w:szCs w:val="28"/>
        </w:rPr>
        <w:t>附件2</w:t>
      </w:r>
    </w:p>
    <w:p>
      <w:pPr>
        <w:spacing w:line="360" w:lineRule="auto"/>
        <w:jc w:val="center"/>
        <w:rPr>
          <w:rFonts w:cs="楷体" w:asciiTheme="minorEastAsia" w:hAnsiTheme="minorEastAsia" w:eastAsiaTheme="minorEastAsia"/>
          <w:b/>
          <w:sz w:val="24"/>
          <w:szCs w:val="28"/>
        </w:rPr>
      </w:pPr>
      <w:r>
        <w:rPr>
          <w:rFonts w:hint="eastAsia" w:cs="方正小标宋简体" w:asciiTheme="minorEastAsia" w:hAnsiTheme="minorEastAsia" w:eastAsiaTheme="minorEastAsia"/>
          <w:b/>
          <w:sz w:val="32"/>
          <w:szCs w:val="36"/>
        </w:rPr>
        <w:t>仙游县中小学（幼儿园）食堂大宗食品质量安全责任书</w:t>
      </w:r>
    </w:p>
    <w:p>
      <w:pPr>
        <w:spacing w:line="240" w:lineRule="exact"/>
        <w:ind w:firstLine="640"/>
        <w:rPr>
          <w:rFonts w:ascii="仿宋_GB2312" w:hAnsi="仿宋_GB2312" w:eastAsia="仿宋_GB2312" w:cs="仿宋_GB2312"/>
          <w:sz w:val="18"/>
          <w:szCs w:val="18"/>
        </w:rPr>
      </w:pPr>
    </w:p>
    <w:p>
      <w:pPr>
        <w:spacing w:line="360" w:lineRule="auto"/>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甲方（学校方）：</w:t>
      </w:r>
    </w:p>
    <w:p>
      <w:pPr>
        <w:spacing w:line="360" w:lineRule="auto"/>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乙方（供应方）：</w:t>
      </w:r>
    </w:p>
    <w:p>
      <w:pPr>
        <w:spacing w:line="360" w:lineRule="auto"/>
        <w:rPr>
          <w:rFonts w:cs="仿宋_GB2312" w:asciiTheme="minorEastAsia" w:hAnsiTheme="minorEastAsia" w:eastAsiaTheme="minorEastAsia"/>
          <w:sz w:val="24"/>
          <w:szCs w:val="28"/>
        </w:rPr>
      </w:pPr>
      <w:r>
        <w:rPr>
          <w:rFonts w:cs="仿宋_GB2312" w:asciiTheme="minorEastAsia" w:hAnsiTheme="minorEastAsia" w:eastAsiaTheme="minorEastAsia"/>
          <w:sz w:val="24"/>
          <w:szCs w:val="28"/>
        </w:rPr>
        <w:t xml:space="preserve">    </w:t>
      </w:r>
      <w:r>
        <w:rPr>
          <w:rFonts w:hint="eastAsia" w:cs="仿宋_GB2312" w:asciiTheme="minorEastAsia" w:hAnsiTheme="minorEastAsia" w:eastAsiaTheme="minorEastAsia"/>
          <w:sz w:val="24"/>
          <w:szCs w:val="28"/>
        </w:rPr>
        <w:t>根据《中华人民共和国食品安全法》、《莆田市教育局关于进一步做好全市中小学（幼儿园）食堂大宗食品集中采购工作的通知》等有关规定，为落实食品安全工作责任制，强化食品安全工作的监督力度，防患于未然，结合食品生产经营的实际情况，特制定本责任书。</w:t>
      </w:r>
    </w:p>
    <w:p>
      <w:pPr>
        <w:spacing w:line="360" w:lineRule="auto"/>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　　</w:t>
      </w:r>
      <w:r>
        <w:rPr>
          <w:rFonts w:hint="eastAsia" w:cs="仿宋_GB2312" w:asciiTheme="minorEastAsia" w:hAnsiTheme="minorEastAsia" w:eastAsiaTheme="minorEastAsia"/>
          <w:b/>
          <w:sz w:val="24"/>
          <w:szCs w:val="28"/>
        </w:rPr>
        <w:t>一、责任书起止时间</w:t>
      </w:r>
      <w:r>
        <w:rPr>
          <w:rFonts w:hint="eastAsia" w:cs="仿宋_GB2312" w:asciiTheme="minorEastAsia" w:hAnsiTheme="minorEastAsia" w:eastAsiaTheme="minorEastAsia"/>
          <w:sz w:val="24"/>
          <w:szCs w:val="28"/>
        </w:rPr>
        <w:t>：年</w:t>
      </w:r>
      <w:r>
        <w:rPr>
          <w:rFonts w:cs="仿宋_GB2312" w:asciiTheme="minorEastAsia" w:hAnsiTheme="minorEastAsia" w:eastAsiaTheme="minorEastAsia"/>
          <w:sz w:val="24"/>
          <w:szCs w:val="28"/>
        </w:rPr>
        <w:t xml:space="preserve"> </w:t>
      </w:r>
      <w:r>
        <w:rPr>
          <w:rFonts w:hint="eastAsia" w:cs="仿宋_GB2312" w:asciiTheme="minorEastAsia" w:hAnsiTheme="minorEastAsia" w:eastAsiaTheme="minorEastAsia"/>
          <w:sz w:val="24"/>
          <w:szCs w:val="28"/>
        </w:rPr>
        <w:t>月</w:t>
      </w:r>
      <w:r>
        <w:rPr>
          <w:rFonts w:cs="仿宋_GB2312" w:asciiTheme="minorEastAsia" w:hAnsiTheme="minorEastAsia" w:eastAsiaTheme="minorEastAsia"/>
          <w:sz w:val="24"/>
          <w:szCs w:val="28"/>
        </w:rPr>
        <w:t xml:space="preserve"> </w:t>
      </w:r>
      <w:r>
        <w:rPr>
          <w:rFonts w:hint="eastAsia" w:cs="仿宋_GB2312" w:asciiTheme="minorEastAsia" w:hAnsiTheme="minorEastAsia" w:eastAsiaTheme="minorEastAsia"/>
          <w:sz w:val="24"/>
          <w:szCs w:val="28"/>
        </w:rPr>
        <w:t>日至</w:t>
      </w:r>
      <w:r>
        <w:rPr>
          <w:rFonts w:cs="仿宋_GB2312" w:asciiTheme="minorEastAsia" w:hAnsiTheme="minorEastAsia" w:eastAsiaTheme="minorEastAsia"/>
          <w:sz w:val="24"/>
          <w:szCs w:val="28"/>
        </w:rPr>
        <w:t xml:space="preserve"> </w:t>
      </w:r>
      <w:r>
        <w:rPr>
          <w:rFonts w:hint="eastAsia" w:cs="仿宋_GB2312" w:asciiTheme="minorEastAsia" w:hAnsiTheme="minorEastAsia" w:eastAsiaTheme="minorEastAsia"/>
          <w:sz w:val="24"/>
          <w:szCs w:val="28"/>
        </w:rPr>
        <w:t>年</w:t>
      </w:r>
      <w:r>
        <w:rPr>
          <w:rFonts w:cs="仿宋_GB2312" w:asciiTheme="minorEastAsia" w:hAnsiTheme="minorEastAsia" w:eastAsiaTheme="minorEastAsia"/>
          <w:sz w:val="24"/>
          <w:szCs w:val="28"/>
        </w:rPr>
        <w:t xml:space="preserve"> </w:t>
      </w:r>
      <w:r>
        <w:rPr>
          <w:rFonts w:hint="eastAsia" w:cs="仿宋_GB2312" w:asciiTheme="minorEastAsia" w:hAnsiTheme="minorEastAsia" w:eastAsiaTheme="minorEastAsia"/>
          <w:sz w:val="24"/>
          <w:szCs w:val="28"/>
        </w:rPr>
        <w:t>月</w:t>
      </w:r>
      <w:r>
        <w:rPr>
          <w:rFonts w:cs="仿宋_GB2312" w:asciiTheme="minorEastAsia" w:hAnsiTheme="minorEastAsia" w:eastAsiaTheme="minorEastAsia"/>
          <w:sz w:val="24"/>
          <w:szCs w:val="28"/>
        </w:rPr>
        <w:t xml:space="preserve"> </w:t>
      </w:r>
      <w:r>
        <w:rPr>
          <w:rFonts w:hint="eastAsia" w:cs="仿宋_GB2312" w:asciiTheme="minorEastAsia" w:hAnsiTheme="minorEastAsia" w:eastAsiaTheme="minorEastAsia"/>
          <w:sz w:val="24"/>
          <w:szCs w:val="28"/>
        </w:rPr>
        <w:t>日，到期自然终止。</w:t>
      </w:r>
    </w:p>
    <w:p>
      <w:pPr>
        <w:pStyle w:val="8"/>
        <w:widowControl/>
        <w:shd w:val="clear" w:color="auto" w:fill="FFFFFF"/>
        <w:spacing w:before="0" w:beforeAutospacing="0" w:after="0" w:afterAutospacing="0" w:line="360" w:lineRule="auto"/>
        <w:rPr>
          <w:rFonts w:cs="仿宋_GB2312" w:asciiTheme="minorEastAsia" w:hAnsiTheme="minorEastAsia" w:eastAsiaTheme="minorEastAsia"/>
          <w:b/>
          <w:color w:val="000000"/>
          <w:spacing w:val="-6"/>
          <w:szCs w:val="28"/>
        </w:rPr>
      </w:pPr>
      <w:r>
        <w:rPr>
          <w:rFonts w:hint="eastAsia" w:cs="仿宋_GB2312" w:asciiTheme="minorEastAsia" w:hAnsiTheme="minorEastAsia" w:eastAsiaTheme="minorEastAsia"/>
          <w:szCs w:val="28"/>
        </w:rPr>
        <w:t>　　</w:t>
      </w:r>
      <w:r>
        <w:rPr>
          <w:rFonts w:hint="eastAsia" w:cs="仿宋_GB2312" w:asciiTheme="minorEastAsia" w:hAnsiTheme="minorEastAsia" w:eastAsiaTheme="minorEastAsia"/>
          <w:b/>
          <w:color w:val="000000"/>
          <w:spacing w:val="-6"/>
          <w:szCs w:val="28"/>
          <w:shd w:val="clear" w:color="auto" w:fill="FFFFFF"/>
        </w:rPr>
        <w:t>二、责任主体</w:t>
      </w:r>
    </w:p>
    <w:p>
      <w:pPr>
        <w:pStyle w:val="8"/>
        <w:widowControl/>
        <w:shd w:val="clear" w:color="auto" w:fill="FFFFFF"/>
        <w:spacing w:before="0" w:beforeAutospacing="0" w:after="0" w:afterAutospacing="0" w:line="360" w:lineRule="auto"/>
        <w:rPr>
          <w:rFonts w:cs="仿宋_GB2312" w:asciiTheme="minorEastAsia" w:hAnsiTheme="minorEastAsia" w:eastAsiaTheme="minorEastAsia"/>
          <w:szCs w:val="28"/>
        </w:rPr>
      </w:pPr>
      <w:r>
        <w:rPr>
          <w:rFonts w:cs="仿宋_GB2312" w:asciiTheme="minorEastAsia" w:hAnsiTheme="minorEastAsia" w:eastAsiaTheme="minorEastAsia"/>
          <w:szCs w:val="28"/>
        </w:rPr>
        <w:t xml:space="preserve">    </w:t>
      </w:r>
      <w:r>
        <w:rPr>
          <w:rFonts w:hint="eastAsia" w:cs="仿宋_GB2312" w:asciiTheme="minorEastAsia" w:hAnsiTheme="minorEastAsia" w:eastAsiaTheme="minorEastAsia"/>
          <w:szCs w:val="28"/>
        </w:rPr>
        <w:t>乙方以及乙方的法定代表人为学校食堂大宗食品原料质量安全的第一责任人。</w:t>
      </w:r>
    </w:p>
    <w:p>
      <w:pPr>
        <w:spacing w:line="360" w:lineRule="auto"/>
        <w:rPr>
          <w:rFonts w:cs="仿宋_GB2312" w:asciiTheme="minorEastAsia" w:hAnsiTheme="minorEastAsia" w:eastAsiaTheme="minorEastAsia"/>
          <w:b/>
          <w:sz w:val="24"/>
          <w:szCs w:val="28"/>
        </w:rPr>
      </w:pPr>
      <w:r>
        <w:rPr>
          <w:rFonts w:cs="仿宋_GB2312" w:asciiTheme="minorEastAsia" w:hAnsiTheme="minorEastAsia" w:eastAsiaTheme="minorEastAsia"/>
          <w:sz w:val="24"/>
          <w:szCs w:val="28"/>
        </w:rPr>
        <w:t xml:space="preserve">    </w:t>
      </w:r>
      <w:r>
        <w:rPr>
          <w:rFonts w:hint="eastAsia" w:cs="仿宋_GB2312" w:asciiTheme="minorEastAsia" w:hAnsiTheme="minorEastAsia" w:eastAsiaTheme="minorEastAsia"/>
          <w:b/>
          <w:sz w:val="24"/>
          <w:szCs w:val="28"/>
        </w:rPr>
        <w:t>三、乙方的责任要求</w:t>
      </w:r>
    </w:p>
    <w:p>
      <w:pPr>
        <w:spacing w:line="360" w:lineRule="auto"/>
        <w:rPr>
          <w:rFonts w:cs="仿宋_GB2312" w:asciiTheme="minorEastAsia" w:hAnsiTheme="minorEastAsia" w:eastAsiaTheme="minorEastAsia"/>
          <w:sz w:val="24"/>
          <w:szCs w:val="28"/>
        </w:rPr>
      </w:pPr>
      <w:r>
        <w:rPr>
          <w:rFonts w:cs="仿宋_GB2312" w:asciiTheme="minorEastAsia" w:hAnsiTheme="minorEastAsia" w:eastAsiaTheme="minorEastAsia"/>
          <w:sz w:val="24"/>
          <w:szCs w:val="28"/>
        </w:rPr>
        <w:t xml:space="preserve">    1</w:t>
      </w:r>
      <w:r>
        <w:rPr>
          <w:rFonts w:hint="eastAsia" w:cs="仿宋_GB2312" w:asciiTheme="minorEastAsia" w:hAnsiTheme="minorEastAsia" w:eastAsiaTheme="minorEastAsia"/>
          <w:sz w:val="24"/>
          <w:szCs w:val="28"/>
        </w:rPr>
        <w:t>、乙方应在经营范围内经营。</w:t>
      </w:r>
    </w:p>
    <w:p>
      <w:pPr>
        <w:spacing w:line="360" w:lineRule="auto"/>
        <w:rPr>
          <w:rFonts w:cs="仿宋_GB2312" w:asciiTheme="minorEastAsia" w:hAnsiTheme="minorEastAsia" w:eastAsiaTheme="minorEastAsia"/>
          <w:sz w:val="24"/>
          <w:szCs w:val="28"/>
        </w:rPr>
      </w:pPr>
      <w:r>
        <w:rPr>
          <w:rFonts w:cs="仿宋_GB2312" w:asciiTheme="minorEastAsia" w:hAnsiTheme="minorEastAsia" w:eastAsiaTheme="minorEastAsia"/>
          <w:sz w:val="24"/>
          <w:szCs w:val="28"/>
        </w:rPr>
        <w:t xml:space="preserve">    2</w:t>
      </w:r>
      <w:r>
        <w:rPr>
          <w:rFonts w:hint="eastAsia" w:cs="仿宋_GB2312" w:asciiTheme="minorEastAsia" w:hAnsiTheme="minorEastAsia" w:eastAsiaTheme="minorEastAsia"/>
          <w:sz w:val="24"/>
          <w:szCs w:val="28"/>
        </w:rPr>
        <w:t>、乙方必须向甲方提供有效的企业法人营业执照（供应植物食用油、大米、小麦粉和冻品等预包装食品的还必须提供生产经营许可证或食品流通许可证）。</w:t>
      </w:r>
    </w:p>
    <w:p>
      <w:pPr>
        <w:spacing w:line="360" w:lineRule="auto"/>
        <w:ind w:firstLine="560"/>
        <w:rPr>
          <w:rFonts w:cs="仿宋_GB2312" w:asciiTheme="minorEastAsia" w:hAnsiTheme="minorEastAsia" w:eastAsiaTheme="minorEastAsia"/>
          <w:sz w:val="24"/>
          <w:szCs w:val="28"/>
        </w:rPr>
      </w:pPr>
      <w:r>
        <w:rPr>
          <w:rFonts w:cs="仿宋_GB2312" w:asciiTheme="minorEastAsia" w:hAnsiTheme="minorEastAsia" w:eastAsiaTheme="minorEastAsia"/>
          <w:sz w:val="24"/>
          <w:szCs w:val="28"/>
        </w:rPr>
        <w:t>3</w:t>
      </w:r>
      <w:r>
        <w:rPr>
          <w:rFonts w:hint="eastAsia" w:cs="仿宋_GB2312" w:asciiTheme="minorEastAsia" w:hAnsiTheme="minorEastAsia" w:eastAsiaTheme="minorEastAsia"/>
          <w:sz w:val="24"/>
          <w:szCs w:val="28"/>
        </w:rPr>
        <w:t>、乙方必须根据甲方提出的品种、规格、品牌、数量、质量要求送货，并在约定的时间内及时送达。</w:t>
      </w:r>
    </w:p>
    <w:p>
      <w:pPr>
        <w:spacing w:line="360" w:lineRule="auto"/>
        <w:ind w:firstLine="560"/>
        <w:rPr>
          <w:rFonts w:cs="仿宋_GB2312" w:asciiTheme="minorEastAsia" w:hAnsiTheme="minorEastAsia" w:eastAsiaTheme="minorEastAsia"/>
          <w:sz w:val="24"/>
          <w:szCs w:val="28"/>
        </w:rPr>
      </w:pPr>
      <w:r>
        <w:rPr>
          <w:rFonts w:cs="仿宋_GB2312" w:asciiTheme="minorEastAsia" w:hAnsiTheme="minorEastAsia" w:eastAsiaTheme="minorEastAsia"/>
          <w:sz w:val="24"/>
          <w:szCs w:val="28"/>
        </w:rPr>
        <w:t>4</w:t>
      </w:r>
      <w:r>
        <w:rPr>
          <w:rFonts w:hint="eastAsia" w:cs="仿宋_GB2312" w:asciiTheme="minorEastAsia" w:hAnsiTheme="minorEastAsia" w:eastAsiaTheme="minorEastAsia"/>
          <w:sz w:val="24"/>
          <w:szCs w:val="28"/>
        </w:rPr>
        <w:t>、乙方在供货时应提供记录有食品名称、规格、数量、生产日期或生产批号、保质期、销售日期的食品销售凭证，同时应能提供食品出厂检验合格证或者其他合格证明。</w:t>
      </w:r>
    </w:p>
    <w:p>
      <w:pPr>
        <w:spacing w:line="360" w:lineRule="auto"/>
        <w:rPr>
          <w:rFonts w:cs="仿宋_GB2312" w:asciiTheme="minorEastAsia" w:hAnsiTheme="minorEastAsia" w:eastAsiaTheme="minorEastAsia"/>
          <w:sz w:val="24"/>
          <w:szCs w:val="28"/>
        </w:rPr>
      </w:pPr>
      <w:r>
        <w:rPr>
          <w:rFonts w:cs="仿宋_GB2312" w:asciiTheme="minorEastAsia" w:hAnsiTheme="minorEastAsia" w:eastAsiaTheme="minorEastAsia"/>
          <w:sz w:val="24"/>
          <w:szCs w:val="28"/>
        </w:rPr>
        <w:t xml:space="preserve">    5</w:t>
      </w:r>
      <w:r>
        <w:rPr>
          <w:rFonts w:hint="eastAsia" w:cs="仿宋_GB2312" w:asciiTheme="minorEastAsia" w:hAnsiTheme="minorEastAsia" w:eastAsiaTheme="minorEastAsia"/>
          <w:sz w:val="24"/>
          <w:szCs w:val="28"/>
        </w:rPr>
        <w:t>、乙方必须保证供货质量，不得提供霉烂变质或超过保质期的食品原料，不得提供对人体有害的食品原料，不得提供无中文标签、中文说明书或者标签、说明书不符合规定以及未能提供检验检疫合格证明的进口食品，不得提供未经检验或者检验不合格的小作坊加工生产的食品；乙方提供的食品原料中不得添加任何对人体有害的添加剂。乙方应严格遵守《中华人民共和国食品安全法》等相关法律、法规的规定，保证食品原料质量符合食品安全国家质量标准要求。</w:t>
      </w:r>
    </w:p>
    <w:p>
      <w:pPr>
        <w:spacing w:line="360" w:lineRule="auto"/>
        <w:rPr>
          <w:rFonts w:cs="仿宋_GB2312" w:asciiTheme="minorEastAsia" w:hAnsiTheme="minorEastAsia" w:eastAsiaTheme="minorEastAsia"/>
          <w:sz w:val="24"/>
          <w:szCs w:val="28"/>
        </w:rPr>
      </w:pPr>
      <w:r>
        <w:rPr>
          <w:rFonts w:cs="仿宋_GB2312" w:asciiTheme="minorEastAsia" w:hAnsiTheme="minorEastAsia" w:eastAsiaTheme="minorEastAsia"/>
          <w:sz w:val="24"/>
          <w:szCs w:val="28"/>
        </w:rPr>
        <w:t xml:space="preserve">    6</w:t>
      </w:r>
      <w:r>
        <w:rPr>
          <w:rFonts w:hint="eastAsia" w:cs="仿宋_GB2312" w:asciiTheme="minorEastAsia" w:hAnsiTheme="minorEastAsia" w:eastAsiaTheme="minorEastAsia"/>
          <w:sz w:val="24"/>
          <w:szCs w:val="28"/>
        </w:rPr>
        <w:t>、甲方或其上级部门有权对乙方的生产（加工）基地、运输、储存、检测的设施设备、场地及配送相关人员的健康状况进行检查或抽查。如检查或抽查结果明显低于乙方的承诺情况，乙方必须在限期内改进，否则，甲方有权解除合同。</w:t>
      </w:r>
    </w:p>
    <w:p>
      <w:pPr>
        <w:spacing w:line="360" w:lineRule="auto"/>
        <w:rPr>
          <w:rFonts w:cs="仿宋_GB2312" w:asciiTheme="minorEastAsia" w:hAnsiTheme="minorEastAsia" w:eastAsiaTheme="minorEastAsia"/>
          <w:sz w:val="24"/>
          <w:szCs w:val="28"/>
        </w:rPr>
      </w:pPr>
      <w:r>
        <w:rPr>
          <w:rFonts w:cs="仿宋_GB2312" w:asciiTheme="minorEastAsia" w:hAnsiTheme="minorEastAsia" w:eastAsiaTheme="minorEastAsia"/>
          <w:sz w:val="24"/>
          <w:szCs w:val="28"/>
        </w:rPr>
        <w:t xml:space="preserve">    7</w:t>
      </w:r>
      <w:r>
        <w:rPr>
          <w:rFonts w:hint="eastAsia" w:cs="仿宋_GB2312" w:asciiTheme="minorEastAsia" w:hAnsiTheme="minorEastAsia" w:eastAsiaTheme="minorEastAsia"/>
          <w:sz w:val="24"/>
          <w:szCs w:val="28"/>
        </w:rPr>
        <w:t>、乙方送货车辆需定期进行消毒，避免在运输过程中导致交叉感染使所需物资安全性出现问题。</w:t>
      </w:r>
    </w:p>
    <w:p>
      <w:pPr>
        <w:spacing w:line="360" w:lineRule="auto"/>
        <w:rPr>
          <w:rFonts w:cs="仿宋_GB2312" w:asciiTheme="minorEastAsia" w:hAnsiTheme="minorEastAsia" w:eastAsiaTheme="minorEastAsia"/>
          <w:b/>
          <w:bCs/>
          <w:sz w:val="24"/>
          <w:szCs w:val="28"/>
        </w:rPr>
      </w:pPr>
      <w:r>
        <w:rPr>
          <w:rFonts w:hint="eastAsia" w:cs="仿宋_GB2312" w:asciiTheme="minorEastAsia" w:hAnsiTheme="minorEastAsia" w:eastAsiaTheme="minorEastAsia"/>
          <w:sz w:val="24"/>
          <w:szCs w:val="28"/>
        </w:rPr>
        <w:t>　　</w:t>
      </w:r>
      <w:r>
        <w:rPr>
          <w:rFonts w:hint="eastAsia" w:cs="仿宋_GB2312" w:asciiTheme="minorEastAsia" w:hAnsiTheme="minorEastAsia" w:eastAsiaTheme="minorEastAsia"/>
          <w:b/>
          <w:bCs/>
          <w:sz w:val="24"/>
          <w:szCs w:val="28"/>
        </w:rPr>
        <w:t>四、责任追究</w:t>
      </w:r>
    </w:p>
    <w:p>
      <w:pPr>
        <w:spacing w:line="360" w:lineRule="auto"/>
        <w:rPr>
          <w:rFonts w:cs="仿宋_GB2312" w:asciiTheme="minorEastAsia" w:hAnsiTheme="minorEastAsia" w:eastAsiaTheme="minorEastAsia"/>
          <w:sz w:val="24"/>
          <w:szCs w:val="28"/>
        </w:rPr>
      </w:pPr>
      <w:r>
        <w:rPr>
          <w:rFonts w:cs="仿宋_GB2312" w:asciiTheme="minorEastAsia" w:hAnsiTheme="minorEastAsia" w:eastAsiaTheme="minorEastAsia"/>
          <w:sz w:val="24"/>
          <w:szCs w:val="28"/>
        </w:rPr>
        <w:t xml:space="preserve">    1</w:t>
      </w:r>
      <w:r>
        <w:rPr>
          <w:rFonts w:hint="eastAsia" w:cs="仿宋_GB2312" w:asciiTheme="minorEastAsia" w:hAnsiTheme="minorEastAsia" w:eastAsiaTheme="minorEastAsia"/>
          <w:sz w:val="24"/>
          <w:szCs w:val="28"/>
        </w:rPr>
        <w:t>、凡乙方违反本责任书第三条之规定者，</w:t>
      </w:r>
      <w:r>
        <w:rPr>
          <w:rFonts w:cs="仿宋_GB2312" w:asciiTheme="minorEastAsia" w:hAnsiTheme="minorEastAsia" w:eastAsiaTheme="minorEastAsia"/>
          <w:sz w:val="24"/>
          <w:szCs w:val="28"/>
        </w:rPr>
        <w:t xml:space="preserve"> </w:t>
      </w:r>
      <w:r>
        <w:rPr>
          <w:rFonts w:hint="eastAsia" w:cs="仿宋_GB2312" w:asciiTheme="minorEastAsia" w:hAnsiTheme="minorEastAsia" w:eastAsiaTheme="minorEastAsia"/>
          <w:sz w:val="24"/>
          <w:szCs w:val="28"/>
        </w:rPr>
        <w:t>甲方在报经属地县区教育行政部门同意后，有权终止与乙方签订的购销合同，并追究乙方的经济赔偿责任。</w:t>
      </w:r>
    </w:p>
    <w:p>
      <w:pPr>
        <w:spacing w:line="360" w:lineRule="auto"/>
        <w:rPr>
          <w:rFonts w:cs="仿宋_GB2312" w:asciiTheme="minorEastAsia" w:hAnsiTheme="minorEastAsia" w:eastAsiaTheme="minorEastAsia"/>
          <w:sz w:val="24"/>
          <w:szCs w:val="28"/>
        </w:rPr>
      </w:pPr>
      <w:r>
        <w:rPr>
          <w:rFonts w:cs="仿宋_GB2312" w:asciiTheme="minorEastAsia" w:hAnsiTheme="minorEastAsia" w:eastAsiaTheme="minorEastAsia"/>
          <w:sz w:val="24"/>
          <w:szCs w:val="28"/>
        </w:rPr>
        <w:t xml:space="preserve">    2</w:t>
      </w:r>
      <w:r>
        <w:rPr>
          <w:rFonts w:hint="eastAsia" w:cs="仿宋_GB2312" w:asciiTheme="minorEastAsia" w:hAnsiTheme="minorEastAsia" w:eastAsiaTheme="minorEastAsia"/>
          <w:sz w:val="24"/>
          <w:szCs w:val="28"/>
        </w:rPr>
        <w:t>、</w:t>
      </w:r>
      <w:r>
        <w:rPr>
          <w:rFonts w:cs="仿宋_GB2312" w:asciiTheme="minorEastAsia" w:hAnsiTheme="minorEastAsia" w:eastAsiaTheme="minorEastAsia"/>
          <w:sz w:val="24"/>
          <w:szCs w:val="28"/>
        </w:rPr>
        <w:t xml:space="preserve"> </w:t>
      </w:r>
      <w:r>
        <w:rPr>
          <w:rFonts w:hint="eastAsia" w:cs="仿宋_GB2312" w:asciiTheme="minorEastAsia" w:hAnsiTheme="minorEastAsia" w:eastAsiaTheme="minorEastAsia"/>
          <w:sz w:val="24"/>
          <w:szCs w:val="28"/>
        </w:rPr>
        <w:t>乙方在提供货物整个运输过程中的安全责任均由乙方承担，概与甲方无关。</w:t>
      </w:r>
    </w:p>
    <w:p>
      <w:pPr>
        <w:spacing w:line="360" w:lineRule="auto"/>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　　</w:t>
      </w:r>
      <w:r>
        <w:rPr>
          <w:rFonts w:cs="仿宋_GB2312" w:asciiTheme="minorEastAsia" w:hAnsiTheme="minorEastAsia" w:eastAsiaTheme="minorEastAsia"/>
          <w:sz w:val="24"/>
          <w:szCs w:val="28"/>
        </w:rPr>
        <w:t>3</w:t>
      </w:r>
      <w:r>
        <w:rPr>
          <w:rFonts w:hint="eastAsia" w:cs="仿宋_GB2312" w:asciiTheme="minorEastAsia" w:hAnsiTheme="minorEastAsia" w:eastAsiaTheme="minorEastAsia"/>
          <w:sz w:val="24"/>
          <w:szCs w:val="28"/>
        </w:rPr>
        <w:t>、本责任书以《中华人民共和国食品安全法》等有关食品生产的法律法规为执行细则，由于乙方所提供的食品原料所造成的事故或责任，若构成犯罪的则移送司法机关追究责任人的刑事责任，同时甲方将视情节轻重向责任方主张经济赔偿和违约金。</w:t>
      </w:r>
    </w:p>
    <w:p>
      <w:pPr>
        <w:spacing w:line="360" w:lineRule="auto"/>
        <w:rPr>
          <w:rFonts w:cs="仿宋_GB2312" w:asciiTheme="minorEastAsia" w:hAnsiTheme="minorEastAsia" w:eastAsiaTheme="minorEastAsia"/>
          <w:b/>
          <w:bCs/>
          <w:sz w:val="24"/>
          <w:szCs w:val="28"/>
        </w:rPr>
      </w:pPr>
      <w:r>
        <w:rPr>
          <w:rFonts w:hint="eastAsia" w:cs="仿宋_GB2312" w:asciiTheme="minorEastAsia" w:hAnsiTheme="minorEastAsia" w:eastAsiaTheme="minorEastAsia"/>
          <w:sz w:val="24"/>
          <w:szCs w:val="28"/>
        </w:rPr>
        <w:t>　　</w:t>
      </w:r>
      <w:r>
        <w:rPr>
          <w:rFonts w:hint="eastAsia" w:cs="仿宋_GB2312" w:asciiTheme="minorEastAsia" w:hAnsiTheme="minorEastAsia" w:eastAsiaTheme="minorEastAsia"/>
          <w:b/>
          <w:bCs/>
          <w:sz w:val="24"/>
          <w:szCs w:val="28"/>
        </w:rPr>
        <w:t>五、本责任书经甲、乙双方签字并盖公章后生效。此责任书一式贰份，甲乙双方各执壹份。</w:t>
      </w:r>
    </w:p>
    <w:p>
      <w:pPr>
        <w:spacing w:line="360" w:lineRule="auto"/>
        <w:rPr>
          <w:rFonts w:cs="仿宋_GB2312" w:asciiTheme="minorEastAsia" w:hAnsiTheme="minorEastAsia" w:eastAsiaTheme="minorEastAsia"/>
          <w:sz w:val="24"/>
          <w:szCs w:val="28"/>
        </w:rPr>
      </w:pPr>
    </w:p>
    <w:p>
      <w:pPr>
        <w:spacing w:line="360" w:lineRule="auto"/>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甲方</w:t>
      </w:r>
      <w:r>
        <w:rPr>
          <w:rFonts w:cs="仿宋_GB2312" w:asciiTheme="minorEastAsia" w:hAnsiTheme="minorEastAsia" w:eastAsiaTheme="minorEastAsia"/>
          <w:sz w:val="24"/>
          <w:szCs w:val="28"/>
        </w:rPr>
        <w:t>(</w:t>
      </w:r>
      <w:r>
        <w:rPr>
          <w:rFonts w:hint="eastAsia" w:cs="仿宋_GB2312" w:asciiTheme="minorEastAsia" w:hAnsiTheme="minorEastAsia" w:eastAsiaTheme="minorEastAsia"/>
          <w:sz w:val="24"/>
          <w:szCs w:val="28"/>
        </w:rPr>
        <w:t>签字盖章</w:t>
      </w:r>
      <w:r>
        <w:rPr>
          <w:rFonts w:cs="仿宋_GB2312" w:asciiTheme="minorEastAsia" w:hAnsiTheme="minorEastAsia" w:eastAsiaTheme="minorEastAsia"/>
          <w:sz w:val="24"/>
          <w:szCs w:val="28"/>
        </w:rPr>
        <w:t>)</w:t>
      </w:r>
      <w:r>
        <w:rPr>
          <w:rFonts w:hint="eastAsia" w:cs="仿宋_GB2312" w:asciiTheme="minorEastAsia" w:hAnsiTheme="minorEastAsia" w:eastAsiaTheme="minorEastAsia"/>
          <w:sz w:val="24"/>
          <w:szCs w:val="28"/>
        </w:rPr>
        <w:t>：</w:t>
      </w:r>
      <w:r>
        <w:rPr>
          <w:rFonts w:cs="仿宋_GB2312" w:asciiTheme="minorEastAsia" w:hAnsiTheme="minorEastAsia" w:eastAsiaTheme="minorEastAsia"/>
          <w:sz w:val="24"/>
          <w:szCs w:val="28"/>
        </w:rPr>
        <w:t xml:space="preserve">                     </w:t>
      </w:r>
      <w:r>
        <w:rPr>
          <w:rFonts w:hint="eastAsia" w:cs="仿宋_GB2312" w:asciiTheme="minorEastAsia" w:hAnsiTheme="minorEastAsia" w:eastAsiaTheme="minorEastAsia"/>
          <w:sz w:val="24"/>
          <w:szCs w:val="28"/>
        </w:rPr>
        <w:t xml:space="preserve">         乙方</w:t>
      </w:r>
      <w:r>
        <w:rPr>
          <w:rFonts w:cs="仿宋_GB2312" w:asciiTheme="minorEastAsia" w:hAnsiTheme="minorEastAsia" w:eastAsiaTheme="minorEastAsia"/>
          <w:sz w:val="24"/>
          <w:szCs w:val="28"/>
        </w:rPr>
        <w:t>(</w:t>
      </w:r>
      <w:r>
        <w:rPr>
          <w:rFonts w:hint="eastAsia" w:cs="仿宋_GB2312" w:asciiTheme="minorEastAsia" w:hAnsiTheme="minorEastAsia" w:eastAsiaTheme="minorEastAsia"/>
          <w:sz w:val="24"/>
          <w:szCs w:val="28"/>
        </w:rPr>
        <w:t>签字盖章</w:t>
      </w:r>
      <w:r>
        <w:rPr>
          <w:rFonts w:cs="仿宋_GB2312" w:asciiTheme="minorEastAsia" w:hAnsiTheme="minorEastAsia" w:eastAsiaTheme="minorEastAsia"/>
          <w:sz w:val="24"/>
          <w:szCs w:val="28"/>
        </w:rPr>
        <w:t>)</w:t>
      </w:r>
      <w:r>
        <w:rPr>
          <w:rFonts w:hint="eastAsia" w:cs="仿宋_GB2312" w:asciiTheme="minorEastAsia" w:hAnsiTheme="minorEastAsia" w:eastAsiaTheme="minorEastAsia"/>
          <w:sz w:val="24"/>
          <w:szCs w:val="28"/>
        </w:rPr>
        <w:t>：</w:t>
      </w:r>
    </w:p>
    <w:p>
      <w:pPr>
        <w:spacing w:line="360" w:lineRule="auto"/>
        <w:ind w:firstLine="720" w:firstLineChars="300"/>
        <w:rPr>
          <w:rFonts w:asciiTheme="minorEastAsia" w:hAnsiTheme="minorEastAsia" w:eastAsiaTheme="minorEastAsia"/>
          <w:sz w:val="20"/>
        </w:rPr>
      </w:pPr>
      <w:r>
        <w:rPr>
          <w:rFonts w:hint="eastAsia" w:cs="仿宋_GB2312" w:asciiTheme="minorEastAsia" w:hAnsiTheme="minorEastAsia" w:eastAsiaTheme="minorEastAsia"/>
          <w:sz w:val="24"/>
          <w:szCs w:val="28"/>
        </w:rPr>
        <w:t>年</w:t>
      </w:r>
      <w:r>
        <w:rPr>
          <w:rFonts w:cs="仿宋_GB2312" w:asciiTheme="minorEastAsia" w:hAnsiTheme="minorEastAsia" w:eastAsiaTheme="minorEastAsia"/>
          <w:sz w:val="24"/>
          <w:szCs w:val="28"/>
        </w:rPr>
        <w:t xml:space="preserve"> </w:t>
      </w:r>
      <w:r>
        <w:rPr>
          <w:rFonts w:hint="eastAsia" w:cs="仿宋_GB2312" w:asciiTheme="minorEastAsia" w:hAnsiTheme="minorEastAsia" w:eastAsiaTheme="minorEastAsia"/>
          <w:sz w:val="24"/>
          <w:szCs w:val="28"/>
        </w:rPr>
        <w:t>月</w:t>
      </w:r>
      <w:r>
        <w:rPr>
          <w:rFonts w:cs="仿宋_GB2312" w:asciiTheme="minorEastAsia" w:hAnsiTheme="minorEastAsia" w:eastAsiaTheme="minorEastAsia"/>
          <w:sz w:val="24"/>
          <w:szCs w:val="28"/>
        </w:rPr>
        <w:t xml:space="preserve"> </w:t>
      </w:r>
      <w:r>
        <w:rPr>
          <w:rFonts w:hint="eastAsia" w:cs="仿宋_GB2312" w:asciiTheme="minorEastAsia" w:hAnsiTheme="minorEastAsia" w:eastAsiaTheme="minorEastAsia"/>
          <w:sz w:val="24"/>
          <w:szCs w:val="28"/>
        </w:rPr>
        <w:t>日</w:t>
      </w:r>
      <w:r>
        <w:rPr>
          <w:rFonts w:cs="仿宋_GB2312" w:asciiTheme="minorEastAsia" w:hAnsiTheme="minorEastAsia" w:eastAsiaTheme="minorEastAsia"/>
          <w:sz w:val="24"/>
          <w:szCs w:val="28"/>
        </w:rPr>
        <w:t xml:space="preserve">                            </w:t>
      </w:r>
      <w:r>
        <w:rPr>
          <w:rFonts w:hint="eastAsia" w:cs="仿宋_GB2312" w:asciiTheme="minorEastAsia" w:hAnsiTheme="minorEastAsia" w:eastAsiaTheme="minorEastAsia"/>
          <w:sz w:val="24"/>
          <w:szCs w:val="28"/>
        </w:rPr>
        <w:t xml:space="preserve">            年</w:t>
      </w:r>
      <w:r>
        <w:rPr>
          <w:rFonts w:cs="仿宋_GB2312" w:asciiTheme="minorEastAsia" w:hAnsiTheme="minorEastAsia" w:eastAsiaTheme="minorEastAsia"/>
          <w:sz w:val="24"/>
          <w:szCs w:val="28"/>
        </w:rPr>
        <w:t xml:space="preserve"> </w:t>
      </w:r>
      <w:r>
        <w:rPr>
          <w:rFonts w:hint="eastAsia" w:cs="仿宋_GB2312" w:asciiTheme="minorEastAsia" w:hAnsiTheme="minorEastAsia" w:eastAsiaTheme="minorEastAsia"/>
          <w:sz w:val="24"/>
          <w:szCs w:val="28"/>
        </w:rPr>
        <w:t>月</w:t>
      </w:r>
      <w:r>
        <w:rPr>
          <w:rFonts w:cs="仿宋_GB2312" w:asciiTheme="minorEastAsia" w:hAnsiTheme="minorEastAsia" w:eastAsiaTheme="minorEastAsia"/>
          <w:sz w:val="24"/>
          <w:szCs w:val="28"/>
        </w:rPr>
        <w:t xml:space="preserve"> </w:t>
      </w:r>
      <w:r>
        <w:rPr>
          <w:rFonts w:hint="eastAsia" w:cs="仿宋_GB2312" w:asciiTheme="minorEastAsia" w:hAnsiTheme="minorEastAsia" w:eastAsiaTheme="minorEastAsia"/>
          <w:sz w:val="24"/>
          <w:szCs w:val="28"/>
        </w:rPr>
        <w:t>日</w:t>
      </w:r>
      <w:r>
        <w:rPr>
          <w:rFonts w:cs="仿宋_GB2312" w:asciiTheme="minorEastAsia" w:hAnsiTheme="minorEastAsia" w:eastAsiaTheme="minorEastAsia"/>
          <w:sz w:val="24"/>
          <w:szCs w:val="28"/>
        </w:rPr>
        <w:t> </w:t>
      </w:r>
    </w:p>
    <w:p>
      <w:pPr>
        <w:spacing w:line="360" w:lineRule="auto"/>
        <w:jc w:val="left"/>
        <w:rPr>
          <w:rFonts w:cs="仿宋_GB2312" w:asciiTheme="minorEastAsia" w:hAnsiTheme="minorEastAsia" w:eastAsiaTheme="minorEastAsia"/>
          <w:b/>
          <w:sz w:val="28"/>
          <w:szCs w:val="28"/>
        </w:rPr>
      </w:pPr>
    </w:p>
    <w:p>
      <w:pPr>
        <w:spacing w:line="360" w:lineRule="auto"/>
        <w:jc w:val="left"/>
        <w:rPr>
          <w:rFonts w:cs="仿宋_GB2312" w:asciiTheme="minorEastAsia" w:hAnsiTheme="minorEastAsia" w:eastAsiaTheme="minorEastAsia"/>
          <w:b/>
          <w:sz w:val="28"/>
          <w:szCs w:val="28"/>
        </w:rPr>
      </w:pPr>
    </w:p>
    <w:p>
      <w:pPr>
        <w:spacing w:line="360" w:lineRule="auto"/>
        <w:jc w:val="lef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附件3</w:t>
      </w:r>
    </w:p>
    <w:p>
      <w:pPr>
        <w:spacing w:line="360" w:lineRule="auto"/>
        <w:jc w:val="center"/>
        <w:rPr>
          <w:rFonts w:cs="方正小标宋简体" w:asciiTheme="minorEastAsia" w:hAnsiTheme="minorEastAsia" w:eastAsiaTheme="minorEastAsia"/>
          <w:b/>
          <w:sz w:val="32"/>
          <w:szCs w:val="36"/>
        </w:rPr>
      </w:pPr>
      <w:r>
        <w:rPr>
          <w:rFonts w:hint="eastAsia" w:cs="方正小标宋简体" w:asciiTheme="minorEastAsia" w:hAnsiTheme="minorEastAsia" w:eastAsiaTheme="minorEastAsia"/>
          <w:b/>
          <w:sz w:val="32"/>
          <w:szCs w:val="36"/>
        </w:rPr>
        <w:t>仙游县中小学（幼儿园）食堂大宗食品集中采购工作</w:t>
      </w:r>
    </w:p>
    <w:p>
      <w:pPr>
        <w:spacing w:line="360" w:lineRule="auto"/>
        <w:jc w:val="center"/>
        <w:rPr>
          <w:rFonts w:cs="方正小标宋简体" w:asciiTheme="minorEastAsia" w:hAnsiTheme="minorEastAsia" w:eastAsiaTheme="minorEastAsia"/>
          <w:b/>
          <w:sz w:val="32"/>
          <w:szCs w:val="36"/>
        </w:rPr>
      </w:pPr>
      <w:r>
        <w:rPr>
          <w:rFonts w:hint="eastAsia" w:cs="方正小标宋简体" w:asciiTheme="minorEastAsia" w:hAnsiTheme="minorEastAsia" w:eastAsiaTheme="minorEastAsia"/>
          <w:b/>
          <w:sz w:val="32"/>
          <w:szCs w:val="36"/>
        </w:rPr>
        <w:t>廉政责任书</w:t>
      </w:r>
    </w:p>
    <w:p>
      <w:pPr>
        <w:spacing w:line="360" w:lineRule="auto"/>
        <w:jc w:val="center"/>
        <w:rPr>
          <w:rFonts w:cs="方正小标宋简体" w:asciiTheme="minorEastAsia" w:hAnsiTheme="minorEastAsia" w:eastAsiaTheme="minorEastAsia"/>
          <w:b/>
          <w:sz w:val="32"/>
          <w:szCs w:val="36"/>
        </w:rPr>
      </w:pPr>
    </w:p>
    <w:p>
      <w:pPr>
        <w:spacing w:line="360" w:lineRule="auto"/>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甲方（学校方）：</w:t>
      </w:r>
    </w:p>
    <w:p>
      <w:pPr>
        <w:spacing w:line="360" w:lineRule="auto"/>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乙方（供应方）：</w:t>
      </w:r>
    </w:p>
    <w:p>
      <w:pPr>
        <w:spacing w:line="360" w:lineRule="auto"/>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 xml:space="preserve">    为加强学校食堂大宗食品集中采购工作中的廉政建设，规范甲乙双方的各项活动，防止发生违法违纪行为，保护学校和当事人的合法权益，根据国家有关廉政建设的规定，特订立本廉政责任书。</w:t>
      </w:r>
    </w:p>
    <w:p>
      <w:pPr>
        <w:spacing w:line="360" w:lineRule="auto"/>
        <w:rPr>
          <w:rFonts w:cs="仿宋_GB2312" w:asciiTheme="minorEastAsia" w:hAnsiTheme="minorEastAsia" w:eastAsiaTheme="minorEastAsia"/>
          <w:b/>
          <w:bCs/>
          <w:sz w:val="24"/>
          <w:szCs w:val="28"/>
        </w:rPr>
      </w:pPr>
      <w:r>
        <w:rPr>
          <w:rFonts w:hint="eastAsia" w:cs="仿宋_GB2312" w:asciiTheme="minorEastAsia" w:hAnsiTheme="minorEastAsia" w:eastAsiaTheme="minorEastAsia"/>
          <w:sz w:val="24"/>
          <w:szCs w:val="28"/>
        </w:rPr>
        <w:t xml:space="preserve">   </w:t>
      </w:r>
      <w:r>
        <w:rPr>
          <w:rFonts w:hint="eastAsia" w:cs="仿宋_GB2312" w:asciiTheme="minorEastAsia" w:hAnsiTheme="minorEastAsia" w:eastAsiaTheme="minorEastAsia"/>
          <w:b/>
          <w:sz w:val="24"/>
          <w:szCs w:val="28"/>
        </w:rPr>
        <w:t xml:space="preserve"> </w:t>
      </w:r>
      <w:r>
        <w:rPr>
          <w:rFonts w:hint="eastAsia" w:cs="仿宋_GB2312" w:asciiTheme="minorEastAsia" w:hAnsiTheme="minorEastAsia" w:eastAsiaTheme="minorEastAsia"/>
          <w:b/>
          <w:bCs/>
          <w:sz w:val="24"/>
          <w:szCs w:val="28"/>
        </w:rPr>
        <w:t>第一条 甲乙双方的责任</w:t>
      </w:r>
    </w:p>
    <w:p>
      <w:pPr>
        <w:spacing w:line="360" w:lineRule="auto"/>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 xml:space="preserve">    (一) 应严格遵守国家关于项目招标和食品集中采购市场活动等相关法律、法规，以及廉政建设的各项规定。</w:t>
      </w:r>
    </w:p>
    <w:p>
      <w:pPr>
        <w:spacing w:line="360" w:lineRule="auto"/>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 xml:space="preserve">    (二) 严格执行食品集中采购配送合同和招标文件，自觉按规办事。</w:t>
      </w:r>
    </w:p>
    <w:p>
      <w:pPr>
        <w:spacing w:line="360" w:lineRule="auto"/>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 xml:space="preserve">    (三) 业务活动必须坚持公开、公平、公正、诚信、透明的原则，不得为获取不正当的利益，损害对方的利益，不得违反食品集中采购配送规章制度。</w:t>
      </w:r>
    </w:p>
    <w:p>
      <w:pPr>
        <w:spacing w:line="360" w:lineRule="auto"/>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 xml:space="preserve">    (四) 发现对方在业务活动中有违规、违纪、违法行为的，应及时提醒对方，并予以制止。情节严重的，应向其上级主管部门或纪检、司法等机关举报。</w:t>
      </w:r>
    </w:p>
    <w:p>
      <w:pPr>
        <w:spacing w:line="360" w:lineRule="auto"/>
        <w:rPr>
          <w:rFonts w:cs="仿宋_GB2312" w:asciiTheme="minorEastAsia" w:hAnsiTheme="minorEastAsia" w:eastAsiaTheme="minorEastAsia"/>
          <w:b/>
          <w:bCs/>
          <w:sz w:val="24"/>
          <w:szCs w:val="28"/>
        </w:rPr>
      </w:pPr>
      <w:r>
        <w:rPr>
          <w:rFonts w:hint="eastAsia" w:cs="仿宋_GB2312" w:asciiTheme="minorEastAsia" w:hAnsiTheme="minorEastAsia" w:eastAsiaTheme="minorEastAsia"/>
          <w:sz w:val="24"/>
          <w:szCs w:val="28"/>
        </w:rPr>
        <w:t xml:space="preserve">    </w:t>
      </w:r>
      <w:r>
        <w:rPr>
          <w:rFonts w:hint="eastAsia" w:cs="仿宋_GB2312" w:asciiTheme="minorEastAsia" w:hAnsiTheme="minorEastAsia" w:eastAsiaTheme="minorEastAsia"/>
          <w:b/>
          <w:bCs/>
          <w:sz w:val="24"/>
          <w:szCs w:val="28"/>
        </w:rPr>
        <w:t>第二条 甲方的责任</w:t>
      </w:r>
    </w:p>
    <w:p>
      <w:pPr>
        <w:spacing w:line="360" w:lineRule="auto"/>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 xml:space="preserve">    按照有关法律法规和程序做好本项目的所有工作。甲方及其从事食品集中采购配送的所有人员，在事前、事中、事后应遵守以下规定：</w:t>
      </w:r>
    </w:p>
    <w:p>
      <w:pPr>
        <w:spacing w:line="360" w:lineRule="auto"/>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 xml:space="preserve">    (一) 不准向乙方(含相关单位，下同)索要或接受礼金、有价证券、贵重物品和好处费、感谢费等。</w:t>
      </w:r>
    </w:p>
    <w:p>
      <w:pPr>
        <w:spacing w:line="360" w:lineRule="auto"/>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 xml:space="preserve">    (二) 不准在乙方报销任何应由甲方或个人支付的费用。</w:t>
      </w:r>
    </w:p>
    <w:p>
      <w:pPr>
        <w:spacing w:line="360" w:lineRule="auto"/>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 xml:space="preserve">    (三) 不准要求、暗示或接受乙方为个人装修住房、婚丧嫁娶、配偶子女的工作安排和旅游等提供方便。</w:t>
      </w:r>
    </w:p>
    <w:p>
      <w:pPr>
        <w:spacing w:line="360" w:lineRule="auto"/>
        <w:rPr>
          <w:rFonts w:cs="仿宋_GB2312" w:asciiTheme="minorEastAsia" w:hAnsiTheme="minorEastAsia" w:eastAsiaTheme="minorEastAsia"/>
          <w:spacing w:val="-6"/>
          <w:sz w:val="24"/>
          <w:szCs w:val="28"/>
        </w:rPr>
      </w:pPr>
      <w:r>
        <w:rPr>
          <w:rFonts w:hint="eastAsia" w:cs="仿宋_GB2312" w:asciiTheme="minorEastAsia" w:hAnsiTheme="minorEastAsia" w:eastAsiaTheme="minorEastAsia"/>
          <w:sz w:val="24"/>
          <w:szCs w:val="28"/>
        </w:rPr>
        <w:t xml:space="preserve">   </w:t>
      </w:r>
      <w:r>
        <w:rPr>
          <w:rFonts w:hint="eastAsia" w:cs="仿宋_GB2312" w:asciiTheme="minorEastAsia" w:hAnsiTheme="minorEastAsia" w:eastAsiaTheme="minorEastAsia"/>
          <w:spacing w:val="-6"/>
          <w:sz w:val="24"/>
          <w:szCs w:val="28"/>
        </w:rPr>
        <w:t xml:space="preserve"> (四) 不准参加有可能影响公正执行公务的乙方宴请、健身和娱乐等活动。</w:t>
      </w:r>
    </w:p>
    <w:p>
      <w:pPr>
        <w:spacing w:line="360" w:lineRule="auto"/>
        <w:ind w:firstLine="491" w:firstLineChars="205"/>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(五) 不准以任何理由强行向乙方推荐供货单位和要求乙方购买指定的食品等。</w:t>
      </w:r>
    </w:p>
    <w:p>
      <w:pPr>
        <w:spacing w:line="360" w:lineRule="auto"/>
        <w:ind w:firstLine="482" w:firstLineChars="200"/>
        <w:rPr>
          <w:rFonts w:cs="仿宋_GB2312" w:asciiTheme="minorEastAsia" w:hAnsiTheme="minorEastAsia" w:eastAsiaTheme="minorEastAsia"/>
          <w:sz w:val="24"/>
          <w:szCs w:val="28"/>
        </w:rPr>
      </w:pPr>
      <w:r>
        <w:rPr>
          <w:rFonts w:hint="eastAsia" w:cs="仿宋_GB2312" w:asciiTheme="minorEastAsia" w:hAnsiTheme="minorEastAsia" w:eastAsiaTheme="minorEastAsia"/>
          <w:b/>
          <w:bCs/>
          <w:sz w:val="24"/>
          <w:szCs w:val="28"/>
        </w:rPr>
        <w:t>第三条 乙方的责任</w:t>
      </w:r>
    </w:p>
    <w:p>
      <w:pPr>
        <w:spacing w:line="360" w:lineRule="auto"/>
        <w:ind w:firstLine="491" w:firstLineChars="205"/>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按照有关法律法规和程序开展食品配送工作，并遵守以下规定：</w:t>
      </w:r>
    </w:p>
    <w:p>
      <w:pPr>
        <w:tabs>
          <w:tab w:val="left" w:pos="360"/>
        </w:tabs>
        <w:spacing w:line="360" w:lineRule="auto"/>
        <w:ind w:firstLine="491" w:firstLineChars="205"/>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(一) 不准以任何理由向甲方(含下属学校，下同)赠送礼金、有价证券、贵重物品和好处费、感谢费等。</w:t>
      </w:r>
    </w:p>
    <w:p>
      <w:pPr>
        <w:spacing w:line="360" w:lineRule="auto"/>
        <w:ind w:firstLine="480" w:firstLineChars="200"/>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(二) 不准以任何理由为甲方报销应由对方或个人支付的费用。</w:t>
      </w:r>
    </w:p>
    <w:p>
      <w:pPr>
        <w:spacing w:line="360" w:lineRule="auto"/>
        <w:ind w:firstLine="520" w:firstLineChars="217"/>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(三) 不准以任何理由为甲方个人装修住房、婚丧嫁娶、配偶子女的工作安排和旅游等提供方便。</w:t>
      </w:r>
    </w:p>
    <w:p>
      <w:pPr>
        <w:spacing w:line="360" w:lineRule="auto"/>
        <w:ind w:firstLine="491" w:firstLineChars="205"/>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(四) 不准以任何理由为甲方组织有可能影响公正执行公务的宴请、健身和娱乐等活动。</w:t>
      </w:r>
    </w:p>
    <w:p>
      <w:pPr>
        <w:spacing w:line="360" w:lineRule="auto"/>
        <w:ind w:firstLine="435"/>
        <w:rPr>
          <w:rFonts w:cs="仿宋_GB2312" w:asciiTheme="minorEastAsia" w:hAnsiTheme="minorEastAsia" w:eastAsiaTheme="minorEastAsia"/>
          <w:sz w:val="24"/>
          <w:szCs w:val="28"/>
        </w:rPr>
      </w:pPr>
      <w:r>
        <w:rPr>
          <w:rFonts w:hint="eastAsia" w:cs="仿宋_GB2312" w:asciiTheme="minorEastAsia" w:hAnsiTheme="minorEastAsia" w:eastAsiaTheme="minorEastAsia"/>
          <w:b/>
          <w:bCs/>
          <w:sz w:val="24"/>
          <w:szCs w:val="28"/>
        </w:rPr>
        <w:t>第四条 违约责任</w:t>
      </w:r>
    </w:p>
    <w:p>
      <w:pPr>
        <w:spacing w:line="360" w:lineRule="auto"/>
        <w:ind w:firstLine="435"/>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(一) 甲方相关人员有违反本责任书第一、二条责任行为的，按照管理权限，依据有关法规条例给予党纪、政纪处分或组织处理；涉嫌犯罪的，由司法机关追究刑事责任。</w:t>
      </w:r>
    </w:p>
    <w:p>
      <w:pPr>
        <w:spacing w:line="360" w:lineRule="auto"/>
        <w:ind w:firstLine="435"/>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(二) 乙方工作人员有违反本责任书第一、三条责任行为的，经查实，甲方有权终止合同；涉嫌犯罪的，由司法机关追究刑事责任；给甲方单位造成经济损失的，应予以赔偿。</w:t>
      </w:r>
    </w:p>
    <w:p>
      <w:pPr>
        <w:spacing w:line="360" w:lineRule="auto"/>
        <w:ind w:firstLine="435"/>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第五条 本责任书作为食品集中采购配送合同的附件。经双方签署后立即生效。</w:t>
      </w:r>
    </w:p>
    <w:p>
      <w:pPr>
        <w:spacing w:line="360" w:lineRule="auto"/>
        <w:ind w:firstLine="435"/>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第六条 本责任书的有效期为双方签署之日起至合同规定的配送期满时止。</w:t>
      </w:r>
    </w:p>
    <w:p>
      <w:pPr>
        <w:spacing w:line="360" w:lineRule="auto"/>
        <w:ind w:firstLine="435"/>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 xml:space="preserve">第七条 本责任书一式四份，由甲乙双方及设区市、县区教育局各执一份。    </w:t>
      </w:r>
    </w:p>
    <w:p>
      <w:pPr>
        <w:spacing w:line="360" w:lineRule="auto"/>
        <w:ind w:firstLine="435"/>
        <w:rPr>
          <w:rFonts w:cs="仿宋_GB2312" w:asciiTheme="minorEastAsia" w:hAnsiTheme="minorEastAsia" w:eastAsiaTheme="minorEastAsia"/>
          <w:sz w:val="24"/>
          <w:szCs w:val="28"/>
        </w:rPr>
      </w:pPr>
    </w:p>
    <w:p>
      <w:pPr>
        <w:spacing w:line="360" w:lineRule="auto"/>
        <w:ind w:firstLine="435"/>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甲方单位：（盖章）                   乙方单位：（盖章）</w:t>
      </w:r>
    </w:p>
    <w:p>
      <w:pPr>
        <w:spacing w:line="360" w:lineRule="auto"/>
        <w:ind w:firstLine="435"/>
        <w:rPr>
          <w:rFonts w:cs="仿宋_GB2312" w:asciiTheme="minorEastAsia" w:hAnsiTheme="minorEastAsia" w:eastAsiaTheme="minorEastAsia"/>
          <w:sz w:val="24"/>
          <w:szCs w:val="28"/>
        </w:rPr>
      </w:pPr>
    </w:p>
    <w:p>
      <w:pPr>
        <w:spacing w:line="360" w:lineRule="auto"/>
        <w:ind w:firstLine="435"/>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法定代表人：                        法定代表人：</w:t>
      </w:r>
    </w:p>
    <w:p>
      <w:pPr>
        <w:spacing w:line="360" w:lineRule="auto"/>
        <w:ind w:firstLine="435"/>
        <w:rPr>
          <w:rFonts w:cs="仿宋_GB2312" w:asciiTheme="minorEastAsia" w:hAnsiTheme="minorEastAsia" w:eastAsiaTheme="minorEastAsia"/>
          <w:sz w:val="24"/>
          <w:szCs w:val="28"/>
        </w:rPr>
      </w:pPr>
    </w:p>
    <w:p>
      <w:pPr>
        <w:spacing w:line="360" w:lineRule="auto"/>
        <w:ind w:firstLine="480"/>
        <w:rPr>
          <w:rFonts w:cs="仿宋_GB2312" w:asciiTheme="minorEastAsia" w:hAnsiTheme="minorEastAsia" w:eastAsiaTheme="minorEastAsia"/>
          <w:sz w:val="24"/>
          <w:szCs w:val="28"/>
        </w:rPr>
      </w:pPr>
      <w:r>
        <w:rPr>
          <w:rFonts w:hint="eastAsia" w:cs="仿宋_GB2312" w:asciiTheme="minorEastAsia" w:hAnsiTheme="minorEastAsia" w:eastAsiaTheme="minorEastAsia"/>
          <w:sz w:val="24"/>
          <w:szCs w:val="28"/>
        </w:rPr>
        <w:t xml:space="preserve">                                              年    月    日</w:t>
      </w:r>
    </w:p>
    <w:p>
      <w:pPr>
        <w:spacing w:line="400" w:lineRule="exact"/>
        <w:rPr>
          <w:rFonts w:cs="仿宋_GB2312" w:asciiTheme="minorEastAsia" w:hAnsiTheme="minorEastAsia" w:eastAsiaTheme="minorEastAsia"/>
          <w:b/>
          <w:bCs/>
          <w:color w:val="000000"/>
          <w:kern w:val="0"/>
          <w:sz w:val="28"/>
          <w:szCs w:val="28"/>
        </w:rPr>
      </w:pPr>
    </w:p>
    <w:p>
      <w:pPr>
        <w:spacing w:line="400" w:lineRule="exact"/>
        <w:rPr>
          <w:rFonts w:cs="仿宋_GB2312" w:asciiTheme="minorEastAsia" w:hAnsiTheme="minorEastAsia" w:eastAsiaTheme="minorEastAsia"/>
          <w:b/>
          <w:bCs/>
          <w:color w:val="000000"/>
          <w:kern w:val="0"/>
          <w:sz w:val="28"/>
          <w:szCs w:val="28"/>
        </w:rPr>
      </w:pPr>
      <w:r>
        <w:rPr>
          <w:rFonts w:hint="eastAsia" w:cs="仿宋_GB2312" w:asciiTheme="minorEastAsia" w:hAnsiTheme="minorEastAsia" w:eastAsiaTheme="minorEastAsia"/>
          <w:b/>
          <w:bCs/>
          <w:color w:val="000000"/>
          <w:kern w:val="0"/>
          <w:sz w:val="28"/>
          <w:szCs w:val="28"/>
        </w:rPr>
        <w:t>附件4</w:t>
      </w:r>
    </w:p>
    <w:p>
      <w:pPr>
        <w:spacing w:line="400" w:lineRule="exact"/>
        <w:jc w:val="center"/>
        <w:rPr>
          <w:rFonts w:cs="宋体" w:asciiTheme="minorEastAsia" w:hAnsiTheme="minorEastAsia" w:eastAsiaTheme="minorEastAsia"/>
          <w:b/>
          <w:bCs/>
          <w:color w:val="000000"/>
          <w:kern w:val="0"/>
          <w:sz w:val="36"/>
          <w:szCs w:val="32"/>
        </w:rPr>
      </w:pPr>
      <w:r>
        <w:rPr>
          <w:rFonts w:hint="eastAsia" w:cs="宋体" w:asciiTheme="minorEastAsia" w:hAnsiTheme="minorEastAsia" w:eastAsiaTheme="minorEastAsia"/>
          <w:b/>
          <w:bCs/>
          <w:color w:val="000000"/>
          <w:kern w:val="0"/>
          <w:sz w:val="40"/>
          <w:szCs w:val="36"/>
        </w:rPr>
        <w:t>送 货 单</w:t>
      </w:r>
    </w:p>
    <w:p>
      <w:pPr>
        <w:spacing w:line="400" w:lineRule="exact"/>
        <w:jc w:val="right"/>
      </w:pPr>
      <w:r>
        <w:rPr>
          <w:rFonts w:hint="eastAsia" w:ascii="宋体" w:hAnsi="宋体" w:cs="宋体"/>
          <w:color w:val="000000"/>
          <w:kern w:val="0"/>
          <w:sz w:val="28"/>
          <w:szCs w:val="28"/>
        </w:rPr>
        <w:t>年   月   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1"/>
        <w:gridCol w:w="2682"/>
        <w:gridCol w:w="488"/>
        <w:gridCol w:w="971"/>
        <w:gridCol w:w="798"/>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651"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序号</w:t>
            </w:r>
          </w:p>
        </w:tc>
        <w:tc>
          <w:tcPr>
            <w:tcW w:w="2682"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名称及规格</w:t>
            </w:r>
          </w:p>
        </w:tc>
        <w:tc>
          <w:tcPr>
            <w:tcW w:w="1459" w:type="dxa"/>
            <w:gridSpan w:val="2"/>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单位</w:t>
            </w:r>
          </w:p>
        </w:tc>
        <w:tc>
          <w:tcPr>
            <w:tcW w:w="798"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数量</w:t>
            </w:r>
          </w:p>
        </w:tc>
        <w:tc>
          <w:tcPr>
            <w:tcW w:w="3511"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产品质量验收情况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651"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1</w:t>
            </w:r>
          </w:p>
        </w:tc>
        <w:tc>
          <w:tcPr>
            <w:tcW w:w="2682"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1459" w:type="dxa"/>
            <w:gridSpan w:val="2"/>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798"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3511"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651"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2</w:t>
            </w:r>
          </w:p>
        </w:tc>
        <w:tc>
          <w:tcPr>
            <w:tcW w:w="2682"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1459" w:type="dxa"/>
            <w:gridSpan w:val="2"/>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798"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3511" w:type="dxa"/>
            <w:vAlign w:val="center"/>
          </w:tcPr>
          <w:p>
            <w:pPr>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651"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3</w:t>
            </w:r>
          </w:p>
        </w:tc>
        <w:tc>
          <w:tcPr>
            <w:tcW w:w="2682"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1459" w:type="dxa"/>
            <w:gridSpan w:val="2"/>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798"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3511" w:type="dxa"/>
            <w:vAlign w:val="center"/>
          </w:tcPr>
          <w:p>
            <w:pPr>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651"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4</w:t>
            </w:r>
          </w:p>
        </w:tc>
        <w:tc>
          <w:tcPr>
            <w:tcW w:w="2682"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1459" w:type="dxa"/>
            <w:gridSpan w:val="2"/>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798"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3511" w:type="dxa"/>
            <w:vAlign w:val="center"/>
          </w:tcPr>
          <w:p>
            <w:pPr>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651"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5</w:t>
            </w:r>
          </w:p>
        </w:tc>
        <w:tc>
          <w:tcPr>
            <w:tcW w:w="2682"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1459" w:type="dxa"/>
            <w:gridSpan w:val="2"/>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798"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3511" w:type="dxa"/>
            <w:vAlign w:val="center"/>
          </w:tcPr>
          <w:p>
            <w:pPr>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651"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6</w:t>
            </w:r>
          </w:p>
        </w:tc>
        <w:tc>
          <w:tcPr>
            <w:tcW w:w="2682"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1459" w:type="dxa"/>
            <w:gridSpan w:val="2"/>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798"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3511" w:type="dxa"/>
            <w:vAlign w:val="center"/>
          </w:tcPr>
          <w:p>
            <w:pPr>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651"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7</w:t>
            </w:r>
          </w:p>
        </w:tc>
        <w:tc>
          <w:tcPr>
            <w:tcW w:w="2682"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1459" w:type="dxa"/>
            <w:gridSpan w:val="2"/>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798"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3511" w:type="dxa"/>
            <w:vAlign w:val="center"/>
          </w:tcPr>
          <w:p>
            <w:pPr>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651"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8</w:t>
            </w:r>
          </w:p>
        </w:tc>
        <w:tc>
          <w:tcPr>
            <w:tcW w:w="2682"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1459" w:type="dxa"/>
            <w:gridSpan w:val="2"/>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798"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3511" w:type="dxa"/>
            <w:vAlign w:val="center"/>
          </w:tcPr>
          <w:p>
            <w:pPr>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651"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9</w:t>
            </w:r>
          </w:p>
        </w:tc>
        <w:tc>
          <w:tcPr>
            <w:tcW w:w="2682"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1459" w:type="dxa"/>
            <w:gridSpan w:val="2"/>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798"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3511" w:type="dxa"/>
            <w:vAlign w:val="center"/>
          </w:tcPr>
          <w:p>
            <w:pPr>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651"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10</w:t>
            </w:r>
          </w:p>
        </w:tc>
        <w:tc>
          <w:tcPr>
            <w:tcW w:w="2682"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1459" w:type="dxa"/>
            <w:gridSpan w:val="2"/>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798"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c>
          <w:tcPr>
            <w:tcW w:w="3511" w:type="dxa"/>
            <w:vAlign w:val="center"/>
          </w:tcPr>
          <w:p>
            <w:pPr>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651" w:type="dxa"/>
            <w:vAlign w:val="center"/>
          </w:tcPr>
          <w:p>
            <w:pPr>
              <w:widowControl/>
              <w:spacing w:line="520" w:lineRule="exact"/>
              <w:jc w:val="center"/>
              <w:rPr>
                <w:rFonts w:ascii="宋体" w:hAnsi="宋体" w:cs="宋体"/>
                <w:color w:val="000000"/>
                <w:kern w:val="0"/>
                <w:sz w:val="25"/>
                <w:szCs w:val="25"/>
              </w:rPr>
            </w:pPr>
            <w:r>
              <w:rPr>
                <w:rFonts w:hint="eastAsia" w:ascii="宋体" w:hAnsi="宋体" w:cs="宋体"/>
                <w:color w:val="000000"/>
                <w:kern w:val="0"/>
                <w:sz w:val="25"/>
                <w:szCs w:val="25"/>
              </w:rPr>
              <w:t>...</w:t>
            </w:r>
          </w:p>
        </w:tc>
        <w:tc>
          <w:tcPr>
            <w:tcW w:w="2682" w:type="dxa"/>
            <w:vAlign w:val="center"/>
          </w:tcPr>
          <w:p>
            <w:pPr>
              <w:widowControl/>
              <w:spacing w:line="520" w:lineRule="exact"/>
              <w:jc w:val="center"/>
              <w:rPr>
                <w:rFonts w:ascii="宋体" w:hAnsi="宋体" w:cs="宋体"/>
                <w:color w:val="000000"/>
                <w:kern w:val="0"/>
                <w:sz w:val="25"/>
                <w:szCs w:val="25"/>
              </w:rPr>
            </w:pPr>
          </w:p>
        </w:tc>
        <w:tc>
          <w:tcPr>
            <w:tcW w:w="1459" w:type="dxa"/>
            <w:gridSpan w:val="2"/>
            <w:vAlign w:val="center"/>
          </w:tcPr>
          <w:p>
            <w:pPr>
              <w:widowControl/>
              <w:spacing w:line="520" w:lineRule="exact"/>
              <w:jc w:val="center"/>
              <w:rPr>
                <w:rFonts w:ascii="宋体" w:hAnsi="宋体" w:cs="宋体"/>
                <w:color w:val="000000"/>
                <w:kern w:val="0"/>
                <w:sz w:val="25"/>
                <w:szCs w:val="25"/>
              </w:rPr>
            </w:pPr>
          </w:p>
        </w:tc>
        <w:tc>
          <w:tcPr>
            <w:tcW w:w="798" w:type="dxa"/>
            <w:vAlign w:val="center"/>
          </w:tcPr>
          <w:p>
            <w:pPr>
              <w:widowControl/>
              <w:spacing w:line="520" w:lineRule="exact"/>
              <w:jc w:val="center"/>
              <w:rPr>
                <w:rFonts w:ascii="宋体" w:hAnsi="宋体" w:cs="宋体"/>
                <w:color w:val="000000"/>
                <w:kern w:val="0"/>
                <w:sz w:val="25"/>
                <w:szCs w:val="25"/>
              </w:rPr>
            </w:pPr>
          </w:p>
        </w:tc>
        <w:tc>
          <w:tcPr>
            <w:tcW w:w="3511" w:type="dxa"/>
            <w:vAlign w:val="center"/>
          </w:tcPr>
          <w:p>
            <w:pPr>
              <w:spacing w:line="520" w:lineRule="exact"/>
              <w:jc w:val="center"/>
              <w:rPr>
                <w:rFonts w:ascii="宋体" w:hAnsi="宋体" w:cs="宋体"/>
                <w:color w:val="000000"/>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9101" w:type="dxa"/>
            <w:gridSpan w:val="6"/>
            <w:vAlign w:val="center"/>
          </w:tcPr>
          <w:p>
            <w:pPr>
              <w:widowControl/>
              <w:spacing w:line="520" w:lineRule="exact"/>
              <w:jc w:val="left"/>
              <w:rPr>
                <w:rFonts w:ascii="宋体" w:hAnsi="宋体" w:cs="宋体"/>
                <w:b/>
                <w:bCs/>
                <w:color w:val="000000"/>
                <w:kern w:val="0"/>
                <w:sz w:val="25"/>
                <w:szCs w:val="25"/>
              </w:rPr>
            </w:pPr>
            <w:r>
              <w:rPr>
                <w:rFonts w:hint="eastAsia" w:ascii="宋体" w:hAnsi="宋体" w:cs="宋体"/>
                <w:b/>
                <w:bCs/>
                <w:color w:val="000000"/>
                <w:kern w:val="0"/>
                <w:sz w:val="25"/>
                <w:szCs w:val="25"/>
              </w:rPr>
              <w:t>约定送货时间：                 实际送货时间：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3821" w:type="dxa"/>
            <w:gridSpan w:val="3"/>
            <w:vAlign w:val="center"/>
          </w:tcPr>
          <w:p>
            <w:pPr>
              <w:widowControl/>
              <w:spacing w:line="520" w:lineRule="exact"/>
              <w:jc w:val="left"/>
              <w:rPr>
                <w:rFonts w:ascii="宋体" w:hAnsi="宋体" w:cs="宋体"/>
                <w:b/>
                <w:bCs/>
                <w:color w:val="000000"/>
                <w:kern w:val="0"/>
                <w:sz w:val="25"/>
                <w:szCs w:val="25"/>
              </w:rPr>
            </w:pPr>
            <w:r>
              <w:rPr>
                <w:rFonts w:hint="eastAsia" w:ascii="宋体" w:hAnsi="宋体" w:cs="宋体"/>
                <w:b/>
                <w:bCs/>
                <w:color w:val="000000"/>
                <w:kern w:val="0"/>
                <w:sz w:val="25"/>
                <w:szCs w:val="25"/>
              </w:rPr>
              <w:t>收货单位（盖章）：</w:t>
            </w:r>
          </w:p>
        </w:tc>
        <w:tc>
          <w:tcPr>
            <w:tcW w:w="5280" w:type="dxa"/>
            <w:gridSpan w:val="3"/>
            <w:vAlign w:val="center"/>
          </w:tcPr>
          <w:p>
            <w:pPr>
              <w:widowControl/>
              <w:spacing w:line="520" w:lineRule="exact"/>
              <w:jc w:val="left"/>
              <w:rPr>
                <w:rFonts w:ascii="宋体" w:hAnsi="宋体" w:cs="宋体"/>
                <w:b/>
                <w:bCs/>
                <w:color w:val="000000"/>
                <w:kern w:val="0"/>
                <w:sz w:val="25"/>
                <w:szCs w:val="25"/>
              </w:rPr>
            </w:pPr>
            <w:r>
              <w:rPr>
                <w:rFonts w:hint="eastAsia" w:ascii="宋体" w:hAnsi="宋体" w:cs="宋体"/>
                <w:b/>
                <w:bCs/>
                <w:color w:val="000000"/>
                <w:kern w:val="0"/>
                <w:sz w:val="25"/>
                <w:szCs w:val="25"/>
              </w:rPr>
              <w:t xml:space="preserve">    送货单位（盖章）：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3821" w:type="dxa"/>
            <w:gridSpan w:val="3"/>
            <w:vAlign w:val="center"/>
          </w:tcPr>
          <w:p>
            <w:pPr>
              <w:widowControl/>
              <w:spacing w:line="520" w:lineRule="exact"/>
              <w:jc w:val="left"/>
              <w:rPr>
                <w:rFonts w:ascii="宋体" w:hAnsi="宋体" w:cs="宋体"/>
                <w:b/>
                <w:bCs/>
                <w:color w:val="000000"/>
                <w:kern w:val="0"/>
                <w:sz w:val="25"/>
                <w:szCs w:val="25"/>
              </w:rPr>
            </w:pPr>
            <w:r>
              <w:rPr>
                <w:rFonts w:hint="eastAsia" w:ascii="宋体" w:hAnsi="宋体" w:cs="宋体"/>
                <w:b/>
                <w:bCs/>
                <w:color w:val="000000"/>
                <w:kern w:val="0"/>
                <w:sz w:val="25"/>
                <w:szCs w:val="25"/>
              </w:rPr>
              <w:t>经手人（签名）：</w:t>
            </w:r>
          </w:p>
        </w:tc>
        <w:tc>
          <w:tcPr>
            <w:tcW w:w="5280" w:type="dxa"/>
            <w:gridSpan w:val="3"/>
            <w:vAlign w:val="center"/>
          </w:tcPr>
          <w:p>
            <w:pPr>
              <w:widowControl/>
              <w:spacing w:line="520" w:lineRule="exact"/>
              <w:jc w:val="left"/>
              <w:rPr>
                <w:rFonts w:ascii="宋体" w:hAnsi="宋体" w:cs="宋体"/>
                <w:b/>
                <w:bCs/>
                <w:color w:val="000000"/>
                <w:kern w:val="0"/>
                <w:sz w:val="25"/>
                <w:szCs w:val="25"/>
              </w:rPr>
            </w:pPr>
            <w:r>
              <w:rPr>
                <w:rFonts w:hint="eastAsia" w:ascii="宋体" w:hAnsi="宋体" w:cs="宋体"/>
                <w:b/>
                <w:bCs/>
                <w:color w:val="000000"/>
                <w:kern w:val="0"/>
                <w:sz w:val="25"/>
                <w:szCs w:val="25"/>
              </w:rPr>
              <w:t xml:space="preserve">    经手人（签名）：                </w:t>
            </w:r>
          </w:p>
        </w:tc>
      </w:tr>
    </w:tbl>
    <w:p>
      <w:pPr>
        <w:spacing w:line="360" w:lineRule="auto"/>
        <w:ind w:firstLine="480"/>
        <w:rPr>
          <w:rFonts w:asciiTheme="minorEastAsia" w:hAnsiTheme="minorEastAsia" w:eastAsiaTheme="minorEastAsia"/>
          <w:b/>
          <w:sz w:val="22"/>
        </w:rPr>
      </w:pPr>
    </w:p>
    <w:sectPr>
      <w:footerReference r:id="rId5" w:type="default"/>
      <w:pgSz w:w="11906" w:h="16838"/>
      <w:pgMar w:top="1304" w:right="1418" w:bottom="1304" w:left="1418"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BDL" w:date="2024-01-15T17:52:00Z" w:initials="ZBDL">
    <w:p w14:paraId="5CFC60A5">
      <w:pPr>
        <w:pStyle w:val="4"/>
      </w:pPr>
      <w:r>
        <w:rPr>
          <w:rFonts w:hint="eastAsia"/>
          <w:sz w:val="32"/>
        </w:rPr>
        <w:t>大米、食用油、小麦粉、调味品，是否需要冷藏车？</w:t>
      </w:r>
    </w:p>
  </w:comment>
  <w:comment w:id="1" w:author="ZBDL" w:date="2024-01-15T17:53:00Z" w:initials="ZBDL">
    <w:p w14:paraId="429935BE">
      <w:pPr>
        <w:pStyle w:val="4"/>
      </w:pPr>
      <w:r>
        <w:rPr>
          <w:rFonts w:hint="eastAsia"/>
          <w:sz w:val="32"/>
        </w:rPr>
        <w:t>大米、食用油、小麦粉、调味品，是否需要保鲜库及冷冻库？</w:t>
      </w:r>
    </w:p>
  </w:comment>
  <w:comment w:id="2" w:author="ZBDL" w:date="2024-01-15T17:44:00Z" w:initials="ZBDL">
    <w:p w14:paraId="351B1557">
      <w:pPr>
        <w:pStyle w:val="4"/>
      </w:pPr>
      <w:r>
        <w:t>是否需要食品检验设备</w:t>
      </w:r>
      <w:r>
        <w:rPr>
          <w:rFonts w:hint="eastAsia"/>
        </w:rPr>
        <w:t>？</w:t>
      </w:r>
    </w:p>
  </w:comment>
  <w:comment w:id="3" w:author="ZBDL" w:date="2024-01-15T17:46:00Z" w:initials="ZBDL">
    <w:p w14:paraId="7A274202">
      <w:pPr>
        <w:pStyle w:val="4"/>
      </w:pPr>
      <w:r>
        <w:t>是否需要</w:t>
      </w:r>
      <w:r>
        <w:rPr>
          <w:rFonts w:hint="eastAsia"/>
        </w:rPr>
        <w:t>生产</w:t>
      </w:r>
      <w:r>
        <w:t>设备</w:t>
      </w:r>
      <w:r>
        <w:rPr>
          <w:rFonts w:hint="eastAsia"/>
        </w:rPr>
        <w:t>？</w:t>
      </w:r>
    </w:p>
  </w:comment>
  <w:comment w:id="4" w:author="ZBDL" w:date="2024-01-15T17:51:00Z" w:initials="ZBDL">
    <w:p w14:paraId="6C4A0ADA">
      <w:pPr>
        <w:pStyle w:val="4"/>
      </w:pPr>
      <w:r>
        <w:t>是否需要食品检测设施</w:t>
      </w:r>
      <w:r>
        <w:rPr>
          <w:rFonts w:hint="eastAsia"/>
        </w:rPr>
        <w:t>？</w:t>
      </w:r>
    </w:p>
  </w:comment>
  <w:comment w:id="5" w:author="ZBDL" w:date="2024-01-15T17:47:00Z" w:initials="ZBDL">
    <w:p w14:paraId="00561094">
      <w:pPr>
        <w:pStyle w:val="4"/>
      </w:pPr>
      <w:r>
        <w:t>蔬菜类是否需要冷冻库</w:t>
      </w:r>
      <w:r>
        <w:rPr>
          <w:rFonts w:hint="eastAsia"/>
        </w:rPr>
        <w:t>？</w:t>
      </w:r>
    </w:p>
  </w:comment>
  <w:comment w:id="6" w:author="ZBDL" w:date="2024-01-15T17:57:00Z" w:initials="ZBDL">
    <w:p w14:paraId="66B737E2">
      <w:pPr>
        <w:pStyle w:val="4"/>
      </w:pPr>
      <w:r>
        <w:t>冻品是否只需要求有冷冻库</w:t>
      </w:r>
      <w:r>
        <w:rPr>
          <w:rFonts w:hint="eastAsia"/>
        </w:rPr>
        <w:t>，保鲜库不做评分？</w:t>
      </w:r>
    </w:p>
  </w:comment>
  <w:comment w:id="7" w:author="ZBDL" w:date="2024-01-15T17:58:00Z" w:initials="ZBDL">
    <w:p w14:paraId="30665BF8">
      <w:pPr>
        <w:pStyle w:val="4"/>
      </w:pPr>
      <w:r>
        <w:t>冻品类是否需要对食品检测设施进行评分</w:t>
      </w:r>
      <w:r>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FC60A5" w15:done="0"/>
  <w15:commentEx w15:paraId="429935BE" w15:done="0"/>
  <w15:commentEx w15:paraId="351B1557" w15:done="0"/>
  <w15:commentEx w15:paraId="7A274202" w15:done="0"/>
  <w15:commentEx w15:paraId="6C4A0ADA" w15:done="0"/>
  <w15:commentEx w15:paraId="00561094" w15:done="0"/>
  <w15:commentEx w15:paraId="66B737E2" w15:done="0"/>
  <w15:commentEx w15:paraId="30665BF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Microsoft YaHei UI"/>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596456"/>
      <w:docPartObj>
        <w:docPartGallery w:val="AutoText"/>
      </w:docPartObj>
    </w:sdtPr>
    <w:sdtContent>
      <w:sdt>
        <w:sdtPr>
          <w:id w:val="-1669238322"/>
          <w:docPartObj>
            <w:docPartGallery w:val="AutoText"/>
          </w:docPartObj>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sdtContent>
      </w:sdt>
    </w:sdtContent>
  </w:sdt>
  <w:p>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BDL">
    <w15:presenceInfo w15:providerId="None" w15:userId="ZBD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82"/>
    <w:rsid w:val="00023CED"/>
    <w:rsid w:val="00056D57"/>
    <w:rsid w:val="00060EB9"/>
    <w:rsid w:val="00066816"/>
    <w:rsid w:val="00073114"/>
    <w:rsid w:val="00077410"/>
    <w:rsid w:val="0008417D"/>
    <w:rsid w:val="000975CA"/>
    <w:rsid w:val="00097B3F"/>
    <w:rsid w:val="000A1140"/>
    <w:rsid w:val="000B2CA5"/>
    <w:rsid w:val="000D5A1E"/>
    <w:rsid w:val="000E10E5"/>
    <w:rsid w:val="000F20C5"/>
    <w:rsid w:val="000F3412"/>
    <w:rsid w:val="00100CD0"/>
    <w:rsid w:val="00104B0E"/>
    <w:rsid w:val="00106300"/>
    <w:rsid w:val="001238A4"/>
    <w:rsid w:val="00125121"/>
    <w:rsid w:val="0013463C"/>
    <w:rsid w:val="00152D13"/>
    <w:rsid w:val="00165B82"/>
    <w:rsid w:val="00195C03"/>
    <w:rsid w:val="001A1C0C"/>
    <w:rsid w:val="001B50CF"/>
    <w:rsid w:val="001C1146"/>
    <w:rsid w:val="001C30DE"/>
    <w:rsid w:val="001D025F"/>
    <w:rsid w:val="001F3901"/>
    <w:rsid w:val="00204908"/>
    <w:rsid w:val="00224BF8"/>
    <w:rsid w:val="002C0834"/>
    <w:rsid w:val="002E77CD"/>
    <w:rsid w:val="002F41C9"/>
    <w:rsid w:val="00321732"/>
    <w:rsid w:val="00326402"/>
    <w:rsid w:val="00340873"/>
    <w:rsid w:val="00341526"/>
    <w:rsid w:val="00376A43"/>
    <w:rsid w:val="003934A0"/>
    <w:rsid w:val="003A01C6"/>
    <w:rsid w:val="003C4C70"/>
    <w:rsid w:val="003D64E4"/>
    <w:rsid w:val="00402075"/>
    <w:rsid w:val="0040358A"/>
    <w:rsid w:val="00407B57"/>
    <w:rsid w:val="00430F7C"/>
    <w:rsid w:val="00440D7D"/>
    <w:rsid w:val="004447C3"/>
    <w:rsid w:val="0044635A"/>
    <w:rsid w:val="0047027D"/>
    <w:rsid w:val="004B427C"/>
    <w:rsid w:val="004E0051"/>
    <w:rsid w:val="004F63DF"/>
    <w:rsid w:val="005020A1"/>
    <w:rsid w:val="005027E3"/>
    <w:rsid w:val="00502993"/>
    <w:rsid w:val="00507289"/>
    <w:rsid w:val="00522574"/>
    <w:rsid w:val="0052465A"/>
    <w:rsid w:val="00532077"/>
    <w:rsid w:val="0053558A"/>
    <w:rsid w:val="00557B27"/>
    <w:rsid w:val="005614D3"/>
    <w:rsid w:val="00563069"/>
    <w:rsid w:val="005658BA"/>
    <w:rsid w:val="005730B0"/>
    <w:rsid w:val="00587983"/>
    <w:rsid w:val="00591CEB"/>
    <w:rsid w:val="005C0CA5"/>
    <w:rsid w:val="005C150A"/>
    <w:rsid w:val="005C4244"/>
    <w:rsid w:val="005C64CC"/>
    <w:rsid w:val="005F1FA1"/>
    <w:rsid w:val="00605021"/>
    <w:rsid w:val="00605A74"/>
    <w:rsid w:val="00621EE6"/>
    <w:rsid w:val="00631D04"/>
    <w:rsid w:val="0063340D"/>
    <w:rsid w:val="00635107"/>
    <w:rsid w:val="0066251A"/>
    <w:rsid w:val="00664615"/>
    <w:rsid w:val="00665919"/>
    <w:rsid w:val="00671A26"/>
    <w:rsid w:val="00676846"/>
    <w:rsid w:val="0068224A"/>
    <w:rsid w:val="00694286"/>
    <w:rsid w:val="006F0C33"/>
    <w:rsid w:val="00721657"/>
    <w:rsid w:val="00743235"/>
    <w:rsid w:val="007512EF"/>
    <w:rsid w:val="00771B6D"/>
    <w:rsid w:val="007D3168"/>
    <w:rsid w:val="007D5C9D"/>
    <w:rsid w:val="007E7B02"/>
    <w:rsid w:val="00802ECE"/>
    <w:rsid w:val="00804796"/>
    <w:rsid w:val="0082774E"/>
    <w:rsid w:val="00836155"/>
    <w:rsid w:val="008472FB"/>
    <w:rsid w:val="00860E2D"/>
    <w:rsid w:val="00861779"/>
    <w:rsid w:val="00895BC9"/>
    <w:rsid w:val="008B3032"/>
    <w:rsid w:val="008F05A9"/>
    <w:rsid w:val="008F3D88"/>
    <w:rsid w:val="008F48C7"/>
    <w:rsid w:val="00901114"/>
    <w:rsid w:val="00901F00"/>
    <w:rsid w:val="00907251"/>
    <w:rsid w:val="00921DE7"/>
    <w:rsid w:val="00944996"/>
    <w:rsid w:val="00944B50"/>
    <w:rsid w:val="00963087"/>
    <w:rsid w:val="009715E7"/>
    <w:rsid w:val="009A6283"/>
    <w:rsid w:val="009B2926"/>
    <w:rsid w:val="009C4FAA"/>
    <w:rsid w:val="009C6669"/>
    <w:rsid w:val="009D7FCA"/>
    <w:rsid w:val="009E2E21"/>
    <w:rsid w:val="009F4D4E"/>
    <w:rsid w:val="009F6454"/>
    <w:rsid w:val="009F76B1"/>
    <w:rsid w:val="00A03A87"/>
    <w:rsid w:val="00A07856"/>
    <w:rsid w:val="00A13910"/>
    <w:rsid w:val="00A34F1B"/>
    <w:rsid w:val="00A70F23"/>
    <w:rsid w:val="00A76991"/>
    <w:rsid w:val="00A82B09"/>
    <w:rsid w:val="00A83679"/>
    <w:rsid w:val="00A93BAD"/>
    <w:rsid w:val="00AA04AD"/>
    <w:rsid w:val="00AB285F"/>
    <w:rsid w:val="00AB5763"/>
    <w:rsid w:val="00B277EF"/>
    <w:rsid w:val="00B36DE1"/>
    <w:rsid w:val="00B47B7E"/>
    <w:rsid w:val="00B57C46"/>
    <w:rsid w:val="00B81278"/>
    <w:rsid w:val="00B84E57"/>
    <w:rsid w:val="00BE40D7"/>
    <w:rsid w:val="00BE5845"/>
    <w:rsid w:val="00BF043B"/>
    <w:rsid w:val="00C0350A"/>
    <w:rsid w:val="00C30B81"/>
    <w:rsid w:val="00C31A7C"/>
    <w:rsid w:val="00C745A6"/>
    <w:rsid w:val="00C83401"/>
    <w:rsid w:val="00CA6351"/>
    <w:rsid w:val="00CB6188"/>
    <w:rsid w:val="00CB7D6C"/>
    <w:rsid w:val="00D07B83"/>
    <w:rsid w:val="00D20CA3"/>
    <w:rsid w:val="00D33DEB"/>
    <w:rsid w:val="00D40BD1"/>
    <w:rsid w:val="00D7372C"/>
    <w:rsid w:val="00D73DA6"/>
    <w:rsid w:val="00DA398B"/>
    <w:rsid w:val="00DB714C"/>
    <w:rsid w:val="00DD2030"/>
    <w:rsid w:val="00DE779B"/>
    <w:rsid w:val="00DF1935"/>
    <w:rsid w:val="00E02CBB"/>
    <w:rsid w:val="00E05A74"/>
    <w:rsid w:val="00E24DF1"/>
    <w:rsid w:val="00E44D2B"/>
    <w:rsid w:val="00E45A8A"/>
    <w:rsid w:val="00E6349C"/>
    <w:rsid w:val="00E74E64"/>
    <w:rsid w:val="00E75E5A"/>
    <w:rsid w:val="00E9720F"/>
    <w:rsid w:val="00ED16E5"/>
    <w:rsid w:val="00EF0905"/>
    <w:rsid w:val="00EF27FF"/>
    <w:rsid w:val="00F176CD"/>
    <w:rsid w:val="00F30CFB"/>
    <w:rsid w:val="00F41B78"/>
    <w:rsid w:val="00F53AF3"/>
    <w:rsid w:val="00F6197D"/>
    <w:rsid w:val="00F907D0"/>
    <w:rsid w:val="00FB4739"/>
    <w:rsid w:val="00FC0231"/>
    <w:rsid w:val="00FC0774"/>
    <w:rsid w:val="00FC42F0"/>
    <w:rsid w:val="00FD2A17"/>
    <w:rsid w:val="1FB7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0"/>
    <w:autoRedefine/>
    <w:semiHidden/>
    <w:unhideWhenUsed/>
    <w:qFormat/>
    <w:uiPriority w:val="99"/>
    <w:pPr>
      <w:jc w:val="left"/>
    </w:pPr>
  </w:style>
  <w:style w:type="paragraph" w:styleId="5">
    <w:name w:val="Balloon Text"/>
    <w:basedOn w:val="1"/>
    <w:link w:val="17"/>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jc w:val="left"/>
    </w:pPr>
    <w:rPr>
      <w:kern w:val="0"/>
      <w:sz w:val="24"/>
    </w:rPr>
  </w:style>
  <w:style w:type="paragraph" w:styleId="9">
    <w:name w:val="annotation subject"/>
    <w:basedOn w:val="4"/>
    <w:next w:val="4"/>
    <w:link w:val="21"/>
    <w:semiHidden/>
    <w:unhideWhenUsed/>
    <w:uiPriority w:val="99"/>
    <w:rPr>
      <w:b/>
      <w:bCs/>
    </w:rPr>
  </w:style>
  <w:style w:type="character" w:styleId="12">
    <w:name w:val="annotation reference"/>
    <w:basedOn w:val="11"/>
    <w:autoRedefine/>
    <w:semiHidden/>
    <w:unhideWhenUsed/>
    <w:qFormat/>
    <w:uiPriority w:val="99"/>
    <w:rPr>
      <w:sz w:val="21"/>
      <w:szCs w:val="21"/>
    </w:rPr>
  </w:style>
  <w:style w:type="character" w:customStyle="1" w:styleId="13">
    <w:name w:val="页眉 Char"/>
    <w:basedOn w:val="11"/>
    <w:link w:val="7"/>
    <w:autoRedefine/>
    <w:qFormat/>
    <w:uiPriority w:val="99"/>
    <w:rPr>
      <w:rFonts w:ascii="Calibri" w:hAnsi="Calibri" w:eastAsia="宋体" w:cs="Times New Roman"/>
      <w:sz w:val="18"/>
      <w:szCs w:val="18"/>
    </w:rPr>
  </w:style>
  <w:style w:type="character" w:customStyle="1" w:styleId="14">
    <w:name w:val="页脚 Char"/>
    <w:basedOn w:val="11"/>
    <w:link w:val="6"/>
    <w:autoRedefine/>
    <w:qFormat/>
    <w:uiPriority w:val="99"/>
    <w:rPr>
      <w:rFonts w:ascii="Calibri" w:hAnsi="Calibri" w:eastAsia="宋体" w:cs="Times New Roman"/>
      <w:sz w:val="18"/>
      <w:szCs w:val="18"/>
    </w:rPr>
  </w:style>
  <w:style w:type="paragraph" w:styleId="15">
    <w:name w:val="List Paragraph"/>
    <w:basedOn w:val="1"/>
    <w:autoRedefine/>
    <w:qFormat/>
    <w:uiPriority w:val="34"/>
    <w:pPr>
      <w:ind w:firstLine="420" w:firstLineChars="200"/>
    </w:pPr>
  </w:style>
  <w:style w:type="paragraph" w:customStyle="1" w:styleId="16">
    <w:name w:val="列出段落1"/>
    <w:autoRedefine/>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7">
    <w:name w:val="批注框文本 Char"/>
    <w:basedOn w:val="11"/>
    <w:link w:val="5"/>
    <w:autoRedefine/>
    <w:semiHidden/>
    <w:qFormat/>
    <w:uiPriority w:val="99"/>
    <w:rPr>
      <w:rFonts w:ascii="Calibri" w:hAnsi="Calibri" w:eastAsia="宋体" w:cs="Times New Roman"/>
      <w:sz w:val="18"/>
      <w:szCs w:val="18"/>
    </w:rPr>
  </w:style>
  <w:style w:type="character" w:customStyle="1" w:styleId="18">
    <w:name w:val="标题 1 Char"/>
    <w:basedOn w:val="11"/>
    <w:link w:val="2"/>
    <w:autoRedefine/>
    <w:qFormat/>
    <w:uiPriority w:val="9"/>
    <w:rPr>
      <w:rFonts w:ascii="Calibri" w:hAnsi="Calibri" w:eastAsia="宋体" w:cs="Times New Roman"/>
      <w:b/>
      <w:bCs/>
      <w:kern w:val="44"/>
      <w:sz w:val="44"/>
      <w:szCs w:val="44"/>
    </w:rPr>
  </w:style>
  <w:style w:type="character" w:customStyle="1" w:styleId="19">
    <w:name w:val="标题 2 Char"/>
    <w:basedOn w:val="11"/>
    <w:link w:val="3"/>
    <w:uiPriority w:val="9"/>
    <w:rPr>
      <w:rFonts w:asciiTheme="majorHAnsi" w:hAnsiTheme="majorHAnsi" w:eastAsiaTheme="majorEastAsia" w:cstheme="majorBidi"/>
      <w:b/>
      <w:bCs/>
      <w:sz w:val="32"/>
      <w:szCs w:val="32"/>
    </w:rPr>
  </w:style>
  <w:style w:type="character" w:customStyle="1" w:styleId="20">
    <w:name w:val="批注文字 Char"/>
    <w:basedOn w:val="11"/>
    <w:link w:val="4"/>
    <w:autoRedefine/>
    <w:semiHidden/>
    <w:qFormat/>
    <w:uiPriority w:val="99"/>
    <w:rPr>
      <w:rFonts w:ascii="Calibri" w:hAnsi="Calibri" w:eastAsia="宋体" w:cs="Times New Roman"/>
      <w:szCs w:val="24"/>
    </w:rPr>
  </w:style>
  <w:style w:type="character" w:customStyle="1" w:styleId="21">
    <w:name w:val="批注主题 Char"/>
    <w:basedOn w:val="20"/>
    <w:link w:val="9"/>
    <w:autoRedefine/>
    <w:semiHidden/>
    <w:qFormat/>
    <w:uiPriority w:val="99"/>
    <w:rPr>
      <w:rFonts w:ascii="Calibri" w:hAnsi="Calibri" w:eastAsia="宋体" w:cs="Times New Roman"/>
      <w:b/>
      <w:bCs/>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4326</Words>
  <Characters>24659</Characters>
  <Lines>205</Lines>
  <Paragraphs>57</Paragraphs>
  <TotalTime>635</TotalTime>
  <ScaleCrop>false</ScaleCrop>
  <LinksUpToDate>false</LinksUpToDate>
  <CharactersWithSpaces>28928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2023-10-25T06:48:00Z</dcterms:created>
  <dc:creator>ZBDL</dc:creator>
  <cp:lastModifiedBy>先广</cp:lastModifiedBy>
  <cp:lastPrinted>2024-01-11T07:00:00Z</cp:lastPrinted>
  <dcterms:modified xsi:type="dcterms:W3CDTF">2024-01-29T01:18:12Z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E0B3580A2686478D836D8EC28862D064_13</vt:lpwstr>
  </property>
</Properties>
</file>